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jc w:val="center"/>
        <w:tblLook w:val="01E0" w:firstRow="1" w:lastRow="1" w:firstColumn="1" w:lastColumn="1" w:noHBand="0" w:noVBand="0"/>
      </w:tblPr>
      <w:tblGrid>
        <w:gridCol w:w="3588"/>
        <w:gridCol w:w="5682"/>
      </w:tblGrid>
      <w:tr w:rsidR="00225822" w:rsidRPr="00752464" w:rsidTr="009164C6">
        <w:trPr>
          <w:jc w:val="center"/>
        </w:trPr>
        <w:tc>
          <w:tcPr>
            <w:tcW w:w="3588" w:type="dxa"/>
          </w:tcPr>
          <w:p w:rsidR="00225822" w:rsidRPr="00752464" w:rsidRDefault="00724AB5" w:rsidP="0031330A">
            <w:pPr>
              <w:jc w:val="center"/>
              <w:rPr>
                <w:b/>
                <w:color w:val="auto"/>
              </w:rPr>
            </w:pPr>
            <w:r w:rsidRPr="00752464">
              <w:rPr>
                <w:b/>
                <w:color w:val="auto"/>
              </w:rPr>
              <w:t>BỘ TÀI CHÍNH</w:t>
            </w:r>
          </w:p>
          <w:p w:rsidR="00225822" w:rsidRPr="00752464" w:rsidRDefault="00945447" w:rsidP="00266B0E">
            <w:pPr>
              <w:rPr>
                <w:b/>
                <w:color w:val="auto"/>
                <w:sz w:val="28"/>
                <w:szCs w:val="28"/>
              </w:rPr>
            </w:pPr>
            <w:r>
              <w:rPr>
                <w:b/>
                <w:color w:val="auto"/>
                <w:sz w:val="28"/>
                <w:szCs w:val="28"/>
              </w:rPr>
              <mc:AlternateContent>
                <mc:Choice Requires="wps">
                  <w:drawing>
                    <wp:anchor distT="4294967294" distB="4294967294" distL="114300" distR="114300" simplePos="0" relativeHeight="251658240" behindDoc="0" locked="0" layoutInCell="1" allowOverlap="1">
                      <wp:simplePos x="0" y="0"/>
                      <wp:positionH relativeFrom="column">
                        <wp:posOffset>786130</wp:posOffset>
                      </wp:positionH>
                      <wp:positionV relativeFrom="paragraph">
                        <wp:posOffset>63499</wp:posOffset>
                      </wp:positionV>
                      <wp:extent cx="534670" cy="0"/>
                      <wp:effectExtent l="0" t="0" r="1778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761C8" id="_x0000_t32" coordsize="21600,21600" o:spt="32" o:oned="t" path="m,l21600,21600e" filled="f">
                      <v:path arrowok="t" fillok="f" o:connecttype="none"/>
                      <o:lock v:ext="edit" shapetype="t"/>
                    </v:shapetype>
                    <v:shape id="AutoShape 18" o:spid="_x0000_s1026" type="#_x0000_t32" style="position:absolute;margin-left:61.9pt;margin-top:5pt;width:42.1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DW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"/>
                  </w:pict>
                </mc:Fallback>
              </mc:AlternateContent>
            </w:r>
          </w:p>
        </w:tc>
        <w:tc>
          <w:tcPr>
            <w:tcW w:w="5682" w:type="dxa"/>
          </w:tcPr>
          <w:p w:rsidR="00225822" w:rsidRPr="00752464" w:rsidRDefault="00225822" w:rsidP="0031330A">
            <w:pPr>
              <w:jc w:val="center"/>
              <w:rPr>
                <w:b/>
                <w:color w:val="auto"/>
              </w:rPr>
            </w:pPr>
            <w:r w:rsidRPr="00752464">
              <w:rPr>
                <w:b/>
                <w:color w:val="auto"/>
              </w:rPr>
              <w:t>CỘNG HOÀ XÃ HỘI CHỦ NGHĨA VIỆT NAM</w:t>
            </w:r>
          </w:p>
          <w:p w:rsidR="00225822" w:rsidRPr="00752464" w:rsidRDefault="00225822" w:rsidP="0031330A">
            <w:pPr>
              <w:jc w:val="center"/>
              <w:rPr>
                <w:b/>
                <w:color w:val="auto"/>
                <w:sz w:val="28"/>
                <w:szCs w:val="28"/>
              </w:rPr>
            </w:pPr>
            <w:r w:rsidRPr="00752464">
              <w:rPr>
                <w:b/>
                <w:color w:val="auto"/>
                <w:sz w:val="28"/>
                <w:szCs w:val="28"/>
              </w:rPr>
              <w:t>Độc lập – Tự do – Hạnh phúc</w:t>
            </w:r>
          </w:p>
          <w:p w:rsidR="00225822" w:rsidRPr="00752464" w:rsidRDefault="00945447" w:rsidP="008C3976">
            <w:pPr>
              <w:rPr>
                <w:color w:val="auto"/>
                <w:sz w:val="28"/>
                <w:szCs w:val="28"/>
              </w:rPr>
            </w:pPr>
            <w:r>
              <w:rPr>
                <w:color w:val="auto"/>
                <w:sz w:val="28"/>
                <w:szCs w:val="28"/>
              </w:rPr>
              <mc:AlternateContent>
                <mc:Choice Requires="wps">
                  <w:drawing>
                    <wp:anchor distT="4294967294" distB="4294967294" distL="114300" distR="114300" simplePos="0" relativeHeight="251657216" behindDoc="0" locked="0" layoutInCell="1" allowOverlap="1">
                      <wp:simplePos x="0" y="0"/>
                      <wp:positionH relativeFrom="column">
                        <wp:posOffset>677545</wp:posOffset>
                      </wp:positionH>
                      <wp:positionV relativeFrom="paragraph">
                        <wp:posOffset>73659</wp:posOffset>
                      </wp:positionV>
                      <wp:extent cx="2239645" cy="0"/>
                      <wp:effectExtent l="0" t="0" r="8255"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8AB7E" id="AutoShape 17" o:spid="_x0000_s1026" type="#_x0000_t32" style="position:absolute;margin-left:53.35pt;margin-top:5.8pt;width:176.3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Em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0c9n0DaHsFLujO+QnuSrflH0u0VSlS2RDQ/Rb2cNyYnPiN6l+IvVUGU/fFYMYggU&#10;CMM61ab3kDAGdAo7Od92wk8OUfiYpg/LeTbDiI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"/>
                  </w:pict>
                </mc:Fallback>
              </mc:AlternateContent>
            </w:r>
          </w:p>
          <w:p w:rsidR="006B6F74" w:rsidRPr="00752464" w:rsidRDefault="00724AB5" w:rsidP="009164C6">
            <w:pPr>
              <w:jc w:val="right"/>
              <w:rPr>
                <w:i/>
                <w:color w:val="auto"/>
                <w:sz w:val="28"/>
                <w:szCs w:val="28"/>
              </w:rPr>
            </w:pPr>
            <w:r w:rsidRPr="00752464">
              <w:rPr>
                <w:i/>
                <w:color w:val="auto"/>
                <w:sz w:val="28"/>
                <w:szCs w:val="28"/>
              </w:rPr>
              <w:t>Hà Nội, ngày      tháng     năm 20</w:t>
            </w:r>
            <w:r w:rsidR="00DD1702">
              <w:rPr>
                <w:i/>
                <w:color w:val="auto"/>
                <w:sz w:val="28"/>
                <w:szCs w:val="28"/>
              </w:rPr>
              <w:t>2</w:t>
            </w:r>
            <w:r w:rsidR="004959B8">
              <w:rPr>
                <w:i/>
                <w:color w:val="auto"/>
                <w:sz w:val="28"/>
                <w:szCs w:val="28"/>
              </w:rPr>
              <w:t>1</w:t>
            </w:r>
          </w:p>
          <w:p w:rsidR="00225822" w:rsidRPr="00752464" w:rsidRDefault="00724AB5" w:rsidP="006B6F74">
            <w:pPr>
              <w:rPr>
                <w:i/>
                <w:color w:val="auto"/>
                <w:sz w:val="28"/>
                <w:szCs w:val="28"/>
              </w:rPr>
            </w:pPr>
            <w:r w:rsidRPr="00752464">
              <w:rPr>
                <w:i/>
                <w:color w:val="auto"/>
                <w:sz w:val="28"/>
                <w:szCs w:val="28"/>
              </w:rPr>
              <w:t xml:space="preserve">  </w:t>
            </w:r>
          </w:p>
        </w:tc>
      </w:tr>
    </w:tbl>
    <w:p w:rsidR="0096115C" w:rsidRPr="00752464" w:rsidRDefault="0096115C" w:rsidP="006B6F74">
      <w:pPr>
        <w:ind w:firstLine="720"/>
        <w:rPr>
          <w:b/>
          <w:color w:val="auto"/>
          <w:sz w:val="8"/>
          <w:szCs w:val="28"/>
        </w:rPr>
      </w:pPr>
    </w:p>
    <w:p w:rsidR="008D28E5" w:rsidRPr="00752464" w:rsidRDefault="008D28E5" w:rsidP="008D28E5">
      <w:pPr>
        <w:ind w:firstLine="720"/>
        <w:rPr>
          <w:b/>
          <w:color w:val="auto"/>
          <w:sz w:val="28"/>
          <w:szCs w:val="28"/>
        </w:rPr>
      </w:pPr>
      <w:r w:rsidRPr="00752464">
        <w:rPr>
          <w:b/>
          <w:color w:val="auto"/>
          <w:sz w:val="28"/>
          <w:szCs w:val="28"/>
        </w:rPr>
        <w:t xml:space="preserve">                                           BÁO CÁO</w:t>
      </w:r>
    </w:p>
    <w:p w:rsidR="004959B8" w:rsidRDefault="008D28E5" w:rsidP="008D28E5">
      <w:pPr>
        <w:jc w:val="center"/>
        <w:rPr>
          <w:b/>
          <w:bCs/>
          <w:color w:val="auto"/>
          <w:sz w:val="28"/>
          <w:szCs w:val="28"/>
        </w:rPr>
      </w:pPr>
      <w:r>
        <w:rPr>
          <w:rFonts w:eastAsia="Times New Roman"/>
          <w:b/>
          <w:color w:val="auto"/>
          <w:spacing w:val="-6"/>
          <w:sz w:val="28"/>
          <w:szCs w:val="28"/>
          <w:lang w:val="nl-NL"/>
        </w:rPr>
        <w:t>Tổng kết thi hành</w:t>
      </w:r>
      <w:r w:rsidRPr="00752464">
        <w:rPr>
          <w:rFonts w:eastAsia="Times New Roman"/>
          <w:b/>
          <w:color w:val="auto"/>
          <w:spacing w:val="-6"/>
          <w:sz w:val="28"/>
          <w:szCs w:val="28"/>
          <w:lang w:val="nl-NL"/>
        </w:rPr>
        <w:t xml:space="preserve"> </w:t>
      </w:r>
      <w:r w:rsidRPr="00752464">
        <w:rPr>
          <w:b/>
          <w:bCs/>
          <w:color w:val="auto"/>
          <w:sz w:val="28"/>
          <w:szCs w:val="28"/>
        </w:rPr>
        <w:t xml:space="preserve">Nghị định số </w:t>
      </w:r>
      <w:r w:rsidR="004959B8">
        <w:rPr>
          <w:b/>
          <w:bCs/>
          <w:color w:val="auto"/>
          <w:sz w:val="28"/>
          <w:szCs w:val="28"/>
        </w:rPr>
        <w:t>156/2020</w:t>
      </w:r>
      <w:r w:rsidRPr="00752464">
        <w:rPr>
          <w:b/>
          <w:bCs/>
          <w:color w:val="auto"/>
          <w:sz w:val="28"/>
          <w:szCs w:val="28"/>
        </w:rPr>
        <w:t xml:space="preserve">/NĐ-CP </w:t>
      </w:r>
    </w:p>
    <w:p w:rsidR="004959B8" w:rsidRDefault="008D28E5" w:rsidP="008D28E5">
      <w:pPr>
        <w:jc w:val="center"/>
        <w:rPr>
          <w:b/>
          <w:color w:val="auto"/>
          <w:sz w:val="28"/>
          <w:szCs w:val="28"/>
        </w:rPr>
      </w:pPr>
      <w:r w:rsidRPr="00752464">
        <w:rPr>
          <w:b/>
          <w:bCs/>
          <w:color w:val="auto"/>
          <w:sz w:val="28"/>
          <w:szCs w:val="28"/>
        </w:rPr>
        <w:t xml:space="preserve">ngày </w:t>
      </w:r>
      <w:r w:rsidR="004959B8">
        <w:rPr>
          <w:b/>
          <w:bCs/>
          <w:color w:val="auto"/>
          <w:sz w:val="28"/>
          <w:szCs w:val="28"/>
        </w:rPr>
        <w:t>31/12/2020</w:t>
      </w:r>
      <w:r w:rsidRPr="00752464">
        <w:rPr>
          <w:b/>
          <w:color w:val="auto"/>
          <w:sz w:val="28"/>
          <w:szCs w:val="28"/>
        </w:rPr>
        <w:t xml:space="preserve"> </w:t>
      </w:r>
      <w:r>
        <w:rPr>
          <w:b/>
          <w:color w:val="auto"/>
          <w:sz w:val="28"/>
          <w:szCs w:val="28"/>
        </w:rPr>
        <w:t>q</w:t>
      </w:r>
      <w:r w:rsidRPr="00752464">
        <w:rPr>
          <w:b/>
          <w:color w:val="auto"/>
          <w:sz w:val="28"/>
          <w:szCs w:val="28"/>
        </w:rPr>
        <w:t xml:space="preserve">uy định xử phạt vi phạm hành chính </w:t>
      </w:r>
    </w:p>
    <w:p w:rsidR="008D28E5" w:rsidRPr="00752464" w:rsidRDefault="008D28E5" w:rsidP="008D28E5">
      <w:pPr>
        <w:jc w:val="center"/>
        <w:rPr>
          <w:b/>
          <w:bCs/>
          <w:color w:val="auto"/>
          <w:sz w:val="28"/>
          <w:szCs w:val="28"/>
        </w:rPr>
      </w:pPr>
      <w:r w:rsidRPr="00752464">
        <w:rPr>
          <w:b/>
          <w:color w:val="auto"/>
          <w:sz w:val="28"/>
          <w:szCs w:val="28"/>
        </w:rPr>
        <w:t>trong lĩnh vực chứng khoán và thị trường chứng khoán</w:t>
      </w:r>
    </w:p>
    <w:p w:rsidR="008D28E5" w:rsidRPr="00752464" w:rsidRDefault="00945447" w:rsidP="008D28E5">
      <w:pPr>
        <w:spacing w:before="120" w:after="120"/>
        <w:ind w:firstLine="720"/>
        <w:jc w:val="center"/>
        <w:rPr>
          <w:b/>
          <w:color w:val="auto"/>
          <w:sz w:val="28"/>
          <w:szCs w:val="28"/>
        </w:rPr>
      </w:pPr>
      <w:r>
        <w:rPr>
          <w:b/>
          <w:color w:val="auto"/>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1965960</wp:posOffset>
                </wp:positionH>
                <wp:positionV relativeFrom="paragraph">
                  <wp:posOffset>111124</wp:posOffset>
                </wp:positionV>
                <wp:extent cx="1851660" cy="0"/>
                <wp:effectExtent l="0" t="0" r="1524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77C41" id="AutoShape 21" o:spid="_x0000_s1026" type="#_x0000_t32" style="position:absolute;margin-left:154.8pt;margin-top:8.75pt;width:145.8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"/>
            </w:pict>
          </mc:Fallback>
        </mc:AlternateContent>
      </w:r>
    </w:p>
    <w:p w:rsidR="00A72372" w:rsidRDefault="00A72372" w:rsidP="008D28E5">
      <w:pPr>
        <w:spacing w:before="120" w:after="120"/>
        <w:ind w:firstLine="709"/>
        <w:rPr>
          <w:color w:val="auto"/>
          <w:sz w:val="28"/>
          <w:szCs w:val="28"/>
        </w:rPr>
      </w:pPr>
    </w:p>
    <w:p w:rsidR="008D28E5" w:rsidRPr="00497EB4" w:rsidRDefault="008D28E5" w:rsidP="008D28E5">
      <w:pPr>
        <w:spacing w:before="120" w:after="120"/>
        <w:ind w:firstLine="709"/>
        <w:rPr>
          <w:color w:val="auto"/>
          <w:sz w:val="28"/>
          <w:szCs w:val="28"/>
        </w:rPr>
      </w:pPr>
      <w:r w:rsidRPr="00752464">
        <w:rPr>
          <w:color w:val="auto"/>
          <w:sz w:val="28"/>
          <w:szCs w:val="28"/>
        </w:rPr>
        <w:t xml:space="preserve">Ngày </w:t>
      </w:r>
      <w:r w:rsidR="004959B8">
        <w:rPr>
          <w:color w:val="auto"/>
          <w:sz w:val="28"/>
          <w:szCs w:val="28"/>
        </w:rPr>
        <w:t>31/12/2020</w:t>
      </w:r>
      <w:r w:rsidRPr="00752464">
        <w:rPr>
          <w:color w:val="auto"/>
          <w:sz w:val="28"/>
          <w:szCs w:val="28"/>
        </w:rPr>
        <w:t xml:space="preserve">, Chính phủ đã ban hành Nghị định số </w:t>
      </w:r>
      <w:r w:rsidR="004959B8">
        <w:rPr>
          <w:color w:val="auto"/>
          <w:sz w:val="28"/>
          <w:szCs w:val="28"/>
        </w:rPr>
        <w:t>156/2020</w:t>
      </w:r>
      <w:r w:rsidRPr="00752464">
        <w:rPr>
          <w:color w:val="auto"/>
          <w:sz w:val="28"/>
          <w:szCs w:val="28"/>
        </w:rPr>
        <w:t xml:space="preserve">/NĐ-CP </w:t>
      </w:r>
      <w:r w:rsidR="004959B8">
        <w:rPr>
          <w:color w:val="auto"/>
          <w:sz w:val="28"/>
          <w:szCs w:val="28"/>
        </w:rPr>
        <w:t>q</w:t>
      </w:r>
      <w:r w:rsidRPr="00752464">
        <w:rPr>
          <w:color w:val="auto"/>
          <w:sz w:val="28"/>
          <w:szCs w:val="28"/>
        </w:rPr>
        <w:t>uy định xử phạt vi phạm hành chính trong lĩnh vực chứng khoán và thị trường chứng khoán</w:t>
      </w:r>
      <w:r w:rsidR="00A72372">
        <w:rPr>
          <w:color w:val="auto"/>
          <w:sz w:val="28"/>
          <w:szCs w:val="28"/>
        </w:rPr>
        <w:t xml:space="preserve"> (CK và TTCK)</w:t>
      </w:r>
      <w:r w:rsidR="004959B8">
        <w:rPr>
          <w:color w:val="auto"/>
          <w:sz w:val="28"/>
          <w:szCs w:val="28"/>
        </w:rPr>
        <w:t>, có hiệu lực thi hành từ ngày 01/01/2021</w:t>
      </w:r>
      <w:r w:rsidR="00A72372">
        <w:rPr>
          <w:color w:val="auto"/>
          <w:sz w:val="28"/>
          <w:szCs w:val="28"/>
        </w:rPr>
        <w:t xml:space="preserve"> (thay thế Nghị định số 108/2013/NĐ-CP ngày 23/9/2013 của Chính phủ quy định xử phạt vi phạm hành chính trong lĩnh vực CK và TTCK và Nghị định số 145/2016/NĐ-CP ngày 01/11/2016 của Chính phủ sửa đổi, bổ sung một số điều của Nghị định số 108/2013/NĐ-CP)</w:t>
      </w:r>
      <w:r>
        <w:rPr>
          <w:color w:val="auto"/>
          <w:sz w:val="28"/>
          <w:szCs w:val="28"/>
        </w:rPr>
        <w:t xml:space="preserve">. </w:t>
      </w:r>
      <w:r w:rsidRPr="00752464">
        <w:rPr>
          <w:rFonts w:eastAsia="Times New Roman"/>
          <w:color w:val="auto"/>
          <w:sz w:val="28"/>
          <w:szCs w:val="28"/>
        </w:rPr>
        <w:t xml:space="preserve">Nghị định </w:t>
      </w:r>
      <w:r w:rsidR="00A72372">
        <w:rPr>
          <w:rFonts w:eastAsia="Times New Roman"/>
          <w:color w:val="auto"/>
          <w:sz w:val="28"/>
          <w:szCs w:val="28"/>
        </w:rPr>
        <w:t xml:space="preserve">số </w:t>
      </w:r>
      <w:r w:rsidRPr="00752464">
        <w:rPr>
          <w:rFonts w:eastAsia="Times New Roman"/>
          <w:color w:val="auto"/>
          <w:sz w:val="28"/>
          <w:szCs w:val="28"/>
        </w:rPr>
        <w:t>1</w:t>
      </w:r>
      <w:r w:rsidR="004959B8">
        <w:rPr>
          <w:rFonts w:eastAsia="Times New Roman"/>
          <w:color w:val="auto"/>
          <w:sz w:val="28"/>
          <w:szCs w:val="28"/>
        </w:rPr>
        <w:t>56</w:t>
      </w:r>
      <w:r w:rsidR="00A72372">
        <w:rPr>
          <w:rFonts w:eastAsia="Times New Roman"/>
          <w:color w:val="auto"/>
          <w:sz w:val="28"/>
          <w:szCs w:val="28"/>
        </w:rPr>
        <w:t>/2020/NĐ-CP</w:t>
      </w:r>
      <w:r w:rsidR="004959B8">
        <w:rPr>
          <w:rFonts w:eastAsia="Times New Roman"/>
          <w:color w:val="auto"/>
          <w:sz w:val="28"/>
          <w:szCs w:val="28"/>
        </w:rPr>
        <w:t xml:space="preserve"> có vai trò</w:t>
      </w:r>
      <w:r w:rsidRPr="00752464">
        <w:rPr>
          <w:rFonts w:eastAsia="Times New Roman"/>
          <w:color w:val="auto"/>
          <w:sz w:val="28"/>
          <w:szCs w:val="28"/>
        </w:rPr>
        <w:t xml:space="preserve"> quan trọng trong việc </w:t>
      </w:r>
      <w:r w:rsidR="004959B8">
        <w:rPr>
          <w:rFonts w:eastAsia="Times New Roman"/>
          <w:color w:val="auto"/>
          <w:sz w:val="28"/>
          <w:szCs w:val="28"/>
        </w:rPr>
        <w:t>đảm bảo thực thi Luật chứng khoán 2019 và các văn bản hướng dẫn</w:t>
      </w:r>
      <w:r w:rsidRPr="00752464">
        <w:rPr>
          <w:rFonts w:eastAsia="Times New Roman"/>
          <w:color w:val="auto"/>
          <w:sz w:val="28"/>
          <w:szCs w:val="28"/>
        </w:rPr>
        <w:t xml:space="preserve"> để răn đe, phòng ngừa vi phạm</w:t>
      </w:r>
      <w:r w:rsidR="004959B8">
        <w:rPr>
          <w:rFonts w:eastAsia="Times New Roman"/>
          <w:color w:val="auto"/>
          <w:sz w:val="28"/>
          <w:szCs w:val="28"/>
        </w:rPr>
        <w:t xml:space="preserve"> khi hệ thống quy định pháp luật chứng khoán mới có hiệu lực thi hành</w:t>
      </w:r>
      <w:r w:rsidRPr="00752464">
        <w:rPr>
          <w:rFonts w:eastAsia="Times New Roman"/>
          <w:color w:val="auto"/>
          <w:sz w:val="28"/>
          <w:szCs w:val="28"/>
        </w:rPr>
        <w:t>, góp phần đảm bảo tính công khai, minh bạch, công bằng và sự phát triển ổn định, an toàn của TTCK.</w:t>
      </w:r>
    </w:p>
    <w:p w:rsidR="008D28E5" w:rsidRPr="00752464" w:rsidRDefault="008D28E5" w:rsidP="0052556D">
      <w:pPr>
        <w:spacing w:before="120" w:after="120"/>
        <w:ind w:firstLine="709"/>
        <w:rPr>
          <w:b/>
          <w:color w:val="auto"/>
          <w:sz w:val="28"/>
          <w:szCs w:val="28"/>
        </w:rPr>
      </w:pPr>
      <w:r w:rsidRPr="00752464">
        <w:rPr>
          <w:b/>
          <w:color w:val="auto"/>
          <w:sz w:val="28"/>
          <w:szCs w:val="28"/>
        </w:rPr>
        <w:t xml:space="preserve">1. Tình hình xử phạt vi phạm hành chính </w:t>
      </w:r>
      <w:r w:rsidR="004959B8">
        <w:rPr>
          <w:b/>
          <w:color w:val="auto"/>
          <w:sz w:val="28"/>
          <w:szCs w:val="28"/>
        </w:rPr>
        <w:t>từ thời điểm Nghị định 156 có hiệu lực thi hành</w:t>
      </w:r>
    </w:p>
    <w:p w:rsidR="00EC0F33" w:rsidRDefault="00EC0F33" w:rsidP="00EC0F33">
      <w:pPr>
        <w:spacing w:before="120" w:after="120"/>
        <w:ind w:firstLine="709"/>
        <w:rPr>
          <w:rFonts w:eastAsia="Times New Roman"/>
          <w:color w:val="auto"/>
          <w:sz w:val="28"/>
          <w:szCs w:val="28"/>
        </w:rPr>
      </w:pPr>
      <w:r>
        <w:rPr>
          <w:rFonts w:eastAsia="Times New Roman"/>
          <w:color w:val="auto"/>
          <w:sz w:val="28"/>
          <w:szCs w:val="28"/>
        </w:rPr>
        <w:t xml:space="preserve">Trong giai đoạn thi hành Nghị định </w:t>
      </w:r>
      <w:r w:rsidR="00A72372">
        <w:rPr>
          <w:rFonts w:eastAsia="Times New Roman"/>
          <w:color w:val="auto"/>
          <w:sz w:val="28"/>
          <w:szCs w:val="28"/>
        </w:rPr>
        <w:t xml:space="preserve">số </w:t>
      </w:r>
      <w:r>
        <w:rPr>
          <w:rFonts w:eastAsia="Times New Roman"/>
          <w:color w:val="auto"/>
          <w:sz w:val="28"/>
          <w:szCs w:val="28"/>
        </w:rPr>
        <w:t>156</w:t>
      </w:r>
      <w:r w:rsidR="00A72372">
        <w:rPr>
          <w:rFonts w:eastAsia="Times New Roman"/>
          <w:color w:val="auto"/>
          <w:sz w:val="28"/>
          <w:szCs w:val="28"/>
        </w:rPr>
        <w:t>/2020/NĐ-CP</w:t>
      </w:r>
      <w:r>
        <w:rPr>
          <w:rFonts w:eastAsia="Times New Roman"/>
          <w:color w:val="auto"/>
          <w:sz w:val="28"/>
          <w:szCs w:val="28"/>
        </w:rPr>
        <w:t xml:space="preserve"> đến thời điểm báo cáo (01/01-3</w:t>
      </w:r>
      <w:r w:rsidR="00A72372">
        <w:rPr>
          <w:rFonts w:eastAsia="Times New Roman"/>
          <w:color w:val="auto"/>
          <w:sz w:val="28"/>
          <w:szCs w:val="28"/>
        </w:rPr>
        <w:t>0</w:t>
      </w:r>
      <w:r>
        <w:rPr>
          <w:rFonts w:eastAsia="Times New Roman"/>
          <w:color w:val="auto"/>
          <w:sz w:val="28"/>
          <w:szCs w:val="28"/>
        </w:rPr>
        <w:t>/0</w:t>
      </w:r>
      <w:r w:rsidR="00A72372">
        <w:rPr>
          <w:rFonts w:eastAsia="Times New Roman"/>
          <w:color w:val="auto"/>
          <w:sz w:val="28"/>
          <w:szCs w:val="28"/>
        </w:rPr>
        <w:t>6</w:t>
      </w:r>
      <w:r>
        <w:rPr>
          <w:rFonts w:eastAsia="Times New Roman"/>
          <w:color w:val="auto"/>
          <w:sz w:val="28"/>
          <w:szCs w:val="28"/>
        </w:rPr>
        <w:t>/2021), c</w:t>
      </w:r>
      <w:r w:rsidR="008D28E5" w:rsidRPr="00752464">
        <w:rPr>
          <w:rFonts w:eastAsia="Times New Roman"/>
          <w:color w:val="auto"/>
          <w:sz w:val="28"/>
          <w:szCs w:val="28"/>
        </w:rPr>
        <w:t>ăn cứ vào kết quả giám sát</w:t>
      </w:r>
      <w:r w:rsidR="004959B8">
        <w:rPr>
          <w:rFonts w:eastAsia="Times New Roman"/>
          <w:color w:val="auto"/>
          <w:sz w:val="28"/>
          <w:szCs w:val="28"/>
        </w:rPr>
        <w:t xml:space="preserve"> thường xuyên và thanh kiểm tra</w:t>
      </w:r>
      <w:r w:rsidR="008D28E5" w:rsidRPr="00752464">
        <w:rPr>
          <w:rFonts w:eastAsia="Times New Roman"/>
          <w:color w:val="auto"/>
          <w:sz w:val="28"/>
          <w:szCs w:val="28"/>
        </w:rPr>
        <w:t xml:space="preserve">, </w:t>
      </w:r>
      <w:r>
        <w:rPr>
          <w:rFonts w:eastAsia="Times New Roman"/>
          <w:color w:val="auto"/>
          <w:sz w:val="28"/>
          <w:szCs w:val="28"/>
        </w:rPr>
        <w:t>tr</w:t>
      </w:r>
      <w:r w:rsidR="008D28E5" w:rsidRPr="00752464">
        <w:rPr>
          <w:rFonts w:eastAsia="Times New Roman"/>
          <w:color w:val="auto"/>
          <w:sz w:val="28"/>
          <w:szCs w:val="28"/>
        </w:rPr>
        <w:t xml:space="preserve">Uỷ ban Chứng khoán Nhà nước (UBCKNN) đã xử phạt tổng cộng </w:t>
      </w:r>
      <w:r>
        <w:rPr>
          <w:rFonts w:eastAsia="Times New Roman"/>
          <w:color w:val="auto"/>
          <w:sz w:val="28"/>
          <w:szCs w:val="28"/>
        </w:rPr>
        <w:t>1</w:t>
      </w:r>
      <w:r w:rsidR="00A72372">
        <w:rPr>
          <w:rFonts w:eastAsia="Times New Roman"/>
          <w:color w:val="auto"/>
          <w:sz w:val="28"/>
          <w:szCs w:val="28"/>
        </w:rPr>
        <w:t>90</w:t>
      </w:r>
      <w:r w:rsidR="008D28E5" w:rsidRPr="008D28E5">
        <w:rPr>
          <w:rFonts w:eastAsia="Times New Roman"/>
          <w:color w:val="auto"/>
          <w:sz w:val="28"/>
          <w:szCs w:val="28"/>
        </w:rPr>
        <w:t xml:space="preserve"> trường hợp vi phạm hành chính </w:t>
      </w:r>
      <w:r>
        <w:rPr>
          <w:rFonts w:eastAsia="Times New Roman"/>
          <w:color w:val="auto"/>
          <w:sz w:val="28"/>
          <w:szCs w:val="28"/>
        </w:rPr>
        <w:t xml:space="preserve">với tổng số tiền phạt là </w:t>
      </w:r>
      <w:r w:rsidR="00A72372">
        <w:rPr>
          <w:rFonts w:eastAsia="Times New Roman"/>
          <w:color w:val="auto"/>
          <w:sz w:val="28"/>
          <w:szCs w:val="28"/>
        </w:rPr>
        <w:t>7.046</w:t>
      </w:r>
      <w:r>
        <w:rPr>
          <w:rFonts w:eastAsia="Times New Roman"/>
          <w:color w:val="auto"/>
          <w:sz w:val="28"/>
          <w:szCs w:val="28"/>
        </w:rPr>
        <w:t xml:space="preserve"> triệu đồng.</w:t>
      </w:r>
    </w:p>
    <w:p w:rsidR="00156426" w:rsidRDefault="00EC0F33" w:rsidP="00EC0F33">
      <w:pPr>
        <w:spacing w:before="120" w:after="120"/>
        <w:ind w:firstLine="709"/>
        <w:rPr>
          <w:color w:val="auto"/>
          <w:sz w:val="28"/>
          <w:szCs w:val="28"/>
        </w:rPr>
      </w:pPr>
      <w:r>
        <w:rPr>
          <w:rFonts w:eastAsia="Times New Roman"/>
          <w:color w:val="auto"/>
          <w:sz w:val="28"/>
          <w:szCs w:val="28"/>
        </w:rPr>
        <w:t xml:space="preserve">Trong </w:t>
      </w:r>
      <w:r>
        <w:rPr>
          <w:color w:val="auto"/>
          <w:sz w:val="28"/>
          <w:szCs w:val="28"/>
        </w:rPr>
        <w:t>cùng kỳ 0</w:t>
      </w:r>
      <w:r w:rsidR="00A72372">
        <w:rPr>
          <w:color w:val="auto"/>
          <w:sz w:val="28"/>
          <w:szCs w:val="28"/>
        </w:rPr>
        <w:t>6</w:t>
      </w:r>
      <w:r>
        <w:rPr>
          <w:color w:val="auto"/>
          <w:sz w:val="28"/>
          <w:szCs w:val="28"/>
        </w:rPr>
        <w:t xml:space="preserve"> tháng đầu năm 2020 (giai đoạn áp dụng Nghị định </w:t>
      </w:r>
      <w:r w:rsidR="00A72372">
        <w:rPr>
          <w:color w:val="auto"/>
          <w:sz w:val="28"/>
          <w:szCs w:val="28"/>
        </w:rPr>
        <w:t xml:space="preserve">số </w:t>
      </w:r>
      <w:r>
        <w:rPr>
          <w:color w:val="auto"/>
          <w:sz w:val="28"/>
          <w:szCs w:val="28"/>
        </w:rPr>
        <w:t xml:space="preserve">108/2013/NĐ-CP được sửa đổi, bổ sung theo Nghị định </w:t>
      </w:r>
      <w:r w:rsidR="00A72372">
        <w:rPr>
          <w:color w:val="auto"/>
          <w:sz w:val="28"/>
          <w:szCs w:val="28"/>
        </w:rPr>
        <w:t xml:space="preserve">số </w:t>
      </w:r>
      <w:r>
        <w:rPr>
          <w:color w:val="auto"/>
          <w:sz w:val="28"/>
          <w:szCs w:val="28"/>
        </w:rPr>
        <w:t xml:space="preserve">145/2016/NĐ-CP), có </w:t>
      </w:r>
      <w:r w:rsidR="00A72372">
        <w:rPr>
          <w:color w:val="auto"/>
          <w:sz w:val="28"/>
          <w:szCs w:val="28"/>
        </w:rPr>
        <w:t xml:space="preserve">203 </w:t>
      </w:r>
      <w:r>
        <w:rPr>
          <w:color w:val="auto"/>
          <w:sz w:val="28"/>
          <w:szCs w:val="28"/>
        </w:rPr>
        <w:t xml:space="preserve">trường hợp xử phạt với tổng số tiền phạt </w:t>
      </w:r>
      <w:r w:rsidR="00A72372">
        <w:rPr>
          <w:color w:val="auto"/>
          <w:sz w:val="28"/>
          <w:szCs w:val="28"/>
        </w:rPr>
        <w:t>10.473</w:t>
      </w:r>
      <w:r>
        <w:rPr>
          <w:color w:val="auto"/>
          <w:sz w:val="28"/>
          <w:szCs w:val="28"/>
        </w:rPr>
        <w:t xml:space="preserve"> triệu đồng. Như vậy, g</w:t>
      </w:r>
      <w:r w:rsidRPr="00D37D74">
        <w:rPr>
          <w:color w:val="auto"/>
          <w:sz w:val="28"/>
          <w:szCs w:val="28"/>
        </w:rPr>
        <w:t xml:space="preserve">iai đoạn </w:t>
      </w:r>
      <w:r w:rsidR="00156426">
        <w:rPr>
          <w:color w:val="auto"/>
          <w:sz w:val="28"/>
          <w:szCs w:val="28"/>
        </w:rPr>
        <w:t xml:space="preserve">triển khai </w:t>
      </w:r>
      <w:r w:rsidRPr="00D37D74">
        <w:rPr>
          <w:color w:val="auto"/>
          <w:sz w:val="28"/>
          <w:szCs w:val="28"/>
        </w:rPr>
        <w:t xml:space="preserve">áp dụng </w:t>
      </w:r>
      <w:r w:rsidRPr="00340AA5">
        <w:rPr>
          <w:color w:val="auto"/>
          <w:sz w:val="28"/>
          <w:szCs w:val="28"/>
        </w:rPr>
        <w:t xml:space="preserve">Nghị định </w:t>
      </w:r>
      <w:r w:rsidR="00A72372">
        <w:rPr>
          <w:color w:val="auto"/>
          <w:sz w:val="28"/>
          <w:szCs w:val="28"/>
        </w:rPr>
        <w:t xml:space="preserve">số </w:t>
      </w:r>
      <w:r>
        <w:rPr>
          <w:color w:val="auto"/>
          <w:sz w:val="28"/>
          <w:szCs w:val="28"/>
        </w:rPr>
        <w:t>156</w:t>
      </w:r>
      <w:r w:rsidR="00A72372">
        <w:rPr>
          <w:color w:val="auto"/>
          <w:sz w:val="28"/>
          <w:szCs w:val="28"/>
        </w:rPr>
        <w:t>/2020/NĐ-CP</w:t>
      </w:r>
      <w:r>
        <w:rPr>
          <w:color w:val="auto"/>
          <w:sz w:val="28"/>
          <w:szCs w:val="28"/>
        </w:rPr>
        <w:t xml:space="preserve"> trong </w:t>
      </w:r>
      <w:r w:rsidR="00A72372">
        <w:rPr>
          <w:color w:val="auto"/>
          <w:sz w:val="28"/>
          <w:szCs w:val="28"/>
        </w:rPr>
        <w:t>6</w:t>
      </w:r>
      <w:r>
        <w:rPr>
          <w:color w:val="auto"/>
          <w:sz w:val="28"/>
          <w:szCs w:val="28"/>
        </w:rPr>
        <w:t xml:space="preserve"> tháng đầu năm 2021 có số trường hợp xử phạt và số tiền phạt thấp hơn</w:t>
      </w:r>
      <w:r w:rsidR="00156426">
        <w:rPr>
          <w:color w:val="auto"/>
          <w:sz w:val="28"/>
          <w:szCs w:val="28"/>
        </w:rPr>
        <w:t>. Điều này có phần xuất phát một phần từ việc Nghị định 156</w:t>
      </w:r>
      <w:r w:rsidR="00A72372">
        <w:rPr>
          <w:color w:val="auto"/>
          <w:sz w:val="28"/>
          <w:szCs w:val="28"/>
        </w:rPr>
        <w:t>/2020/NĐ-CP</w:t>
      </w:r>
      <w:r w:rsidR="00156426">
        <w:rPr>
          <w:color w:val="auto"/>
          <w:sz w:val="28"/>
          <w:szCs w:val="28"/>
        </w:rPr>
        <w:t xml:space="preserve"> được ban hành cùng với việc triển khai thi hành hệ thống pháp luật chứng khoán mới nên các tổ chức, cá nhân đang có sự điều chỉnh hoạt động chứng khoán để phù hợp với hệ thống pháp luật mới, chưa phát sinh nhiều vi phạm hành chính; mặt khác nhiều trường hợp xử phạt là đối với vi phạm diễn ra trước ngày 01/01/2021 nên theo nguyên tắc áp dụng văn bản quy phạm pháp luật vẫn áp dụng Nghị định </w:t>
      </w:r>
      <w:r w:rsidR="00A72372">
        <w:rPr>
          <w:color w:val="auto"/>
          <w:sz w:val="28"/>
          <w:szCs w:val="28"/>
        </w:rPr>
        <w:t xml:space="preserve">số </w:t>
      </w:r>
      <w:r w:rsidR="00156426">
        <w:rPr>
          <w:color w:val="auto"/>
          <w:sz w:val="28"/>
          <w:szCs w:val="28"/>
        </w:rPr>
        <w:t xml:space="preserve">108/2013/NĐ-CP được sửa đổi, bổ sung theo Nghị định 145/2016/NĐ-CP có khung phạt trung bình thấp hơn Nghị định </w:t>
      </w:r>
      <w:r w:rsidR="00A72372">
        <w:rPr>
          <w:color w:val="auto"/>
          <w:sz w:val="28"/>
          <w:szCs w:val="28"/>
        </w:rPr>
        <w:t xml:space="preserve">số </w:t>
      </w:r>
      <w:r w:rsidR="00156426">
        <w:rPr>
          <w:color w:val="auto"/>
          <w:sz w:val="28"/>
          <w:szCs w:val="28"/>
        </w:rPr>
        <w:t>156</w:t>
      </w:r>
      <w:r w:rsidR="00A72372">
        <w:rPr>
          <w:color w:val="auto"/>
          <w:sz w:val="28"/>
          <w:szCs w:val="28"/>
        </w:rPr>
        <w:t>/2020/NĐ-CP</w:t>
      </w:r>
      <w:r w:rsidR="00156426">
        <w:rPr>
          <w:color w:val="auto"/>
          <w:sz w:val="28"/>
          <w:szCs w:val="28"/>
        </w:rPr>
        <w:t>.</w:t>
      </w:r>
    </w:p>
    <w:p w:rsidR="00BC7188" w:rsidRPr="00D6457C" w:rsidRDefault="00BC7188" w:rsidP="00BC7188">
      <w:pPr>
        <w:spacing w:before="120" w:after="120"/>
        <w:ind w:firstLine="720"/>
        <w:rPr>
          <w:color w:val="auto"/>
          <w:sz w:val="28"/>
          <w:szCs w:val="28"/>
          <w:lang w:val="nl-NL"/>
        </w:rPr>
      </w:pPr>
      <w:r>
        <w:rPr>
          <w:color w:val="auto"/>
          <w:sz w:val="28"/>
          <w:szCs w:val="28"/>
        </w:rPr>
        <w:t xml:space="preserve">Các vi phạm được xử phạt trong giai đoạn đầu năm 2021 áp dụng </w:t>
      </w:r>
      <w:r>
        <w:rPr>
          <w:color w:val="auto"/>
          <w:sz w:val="28"/>
          <w:szCs w:val="28"/>
        </w:rPr>
        <w:t>Nghị định số 108/2013/NĐ-CP được sửa đổi, bổ sung theo Nghị định 145/2016/NĐ-CP</w:t>
      </w:r>
      <w:r>
        <w:rPr>
          <w:color w:val="auto"/>
          <w:sz w:val="28"/>
          <w:szCs w:val="28"/>
        </w:rPr>
        <w:t xml:space="preserve"> trong xử phạt 150/190 trường hợp</w:t>
      </w:r>
      <w:r>
        <w:rPr>
          <w:color w:val="auto"/>
          <w:sz w:val="28"/>
          <w:szCs w:val="28"/>
          <w:lang w:val="nl-NL"/>
        </w:rPr>
        <w:t>, có nguyên nhân từ tính chất giám sát và xử lý mang tính hậu kiểm và các thủ tục xử phạt đối tượng tổ chức thường có giải trình, đối chiếu kết quả giám sát từ nhiều nguồn khác nhau (UBCKNN, Sở giao dịch chứng khoán, giải trình và tài liệu chứng minh của tổ chức).</w:t>
      </w:r>
      <w:r>
        <w:rPr>
          <w:color w:val="auto"/>
          <w:sz w:val="28"/>
          <w:szCs w:val="28"/>
          <w:lang w:val="nl-NL"/>
        </w:rPr>
        <w:t xml:space="preserve"> Nghị định 156/2020/NĐ-CP áp dụng trong xử phạt đối với 40/190 trường hợp xử phạt, chủ yếu là xử phạt hành vi vi phạm nghĩa vụ báo cáo/công bố thông tin khi giao dịch của cổ đông lớn, người nội bộ, người có liên quan của người nội bộ.</w:t>
      </w:r>
    </w:p>
    <w:p w:rsidR="00EF6E5B" w:rsidRPr="00340AA5" w:rsidRDefault="00EF6E5B" w:rsidP="0052556D">
      <w:pPr>
        <w:spacing w:before="120" w:after="120"/>
        <w:ind w:firstLine="709"/>
        <w:rPr>
          <w:b/>
          <w:color w:val="auto"/>
          <w:sz w:val="28"/>
          <w:szCs w:val="28"/>
        </w:rPr>
      </w:pPr>
      <w:r w:rsidRPr="00340AA5">
        <w:rPr>
          <w:b/>
          <w:color w:val="auto"/>
          <w:sz w:val="28"/>
          <w:szCs w:val="28"/>
        </w:rPr>
        <w:t xml:space="preserve">2. Các nhóm hành vi vi phạm trong lĩnh vực chứng khoán </w:t>
      </w:r>
    </w:p>
    <w:p w:rsidR="00EF6E5B" w:rsidRPr="00340AA5" w:rsidRDefault="00EF6E5B" w:rsidP="00EF6E5B">
      <w:pPr>
        <w:spacing w:before="120" w:after="120"/>
        <w:ind w:firstLine="720"/>
        <w:rPr>
          <w:color w:val="auto"/>
          <w:sz w:val="28"/>
          <w:szCs w:val="28"/>
        </w:rPr>
      </w:pPr>
      <w:r w:rsidRPr="00340AA5">
        <w:rPr>
          <w:color w:val="auto"/>
          <w:sz w:val="28"/>
          <w:szCs w:val="28"/>
        </w:rPr>
        <w:t xml:space="preserve">Các </w:t>
      </w:r>
      <w:r w:rsidR="00A72372">
        <w:rPr>
          <w:color w:val="auto"/>
          <w:sz w:val="28"/>
          <w:szCs w:val="28"/>
        </w:rPr>
        <w:t xml:space="preserve">nhóm </w:t>
      </w:r>
      <w:r w:rsidRPr="00340AA5">
        <w:rPr>
          <w:color w:val="auto"/>
          <w:sz w:val="28"/>
          <w:szCs w:val="28"/>
        </w:rPr>
        <w:t xml:space="preserve">hành vi vi phạm hành chính </w:t>
      </w:r>
      <w:r w:rsidR="00156426">
        <w:rPr>
          <w:color w:val="auto"/>
          <w:sz w:val="28"/>
          <w:szCs w:val="28"/>
        </w:rPr>
        <w:t xml:space="preserve">được xử phạt </w:t>
      </w:r>
      <w:r w:rsidRPr="00340AA5">
        <w:rPr>
          <w:color w:val="auto"/>
          <w:sz w:val="28"/>
          <w:szCs w:val="28"/>
        </w:rPr>
        <w:t xml:space="preserve">trên TTCK trong </w:t>
      </w:r>
      <w:r w:rsidR="00156426">
        <w:rPr>
          <w:color w:val="auto"/>
          <w:sz w:val="28"/>
          <w:szCs w:val="28"/>
        </w:rPr>
        <w:t xml:space="preserve">đầu năm 2021 </w:t>
      </w:r>
      <w:r w:rsidR="00A72372">
        <w:rPr>
          <w:color w:val="auto"/>
          <w:sz w:val="28"/>
          <w:szCs w:val="28"/>
        </w:rPr>
        <w:t xml:space="preserve">như </w:t>
      </w:r>
      <w:r w:rsidRPr="00340AA5">
        <w:rPr>
          <w:color w:val="auto"/>
          <w:sz w:val="28"/>
          <w:szCs w:val="28"/>
        </w:rPr>
        <w:t>sau:</w:t>
      </w:r>
    </w:p>
    <w:p w:rsidR="00EF6E5B" w:rsidRPr="00340AA5" w:rsidRDefault="00EF6E5B" w:rsidP="0052556D">
      <w:pPr>
        <w:spacing w:before="120" w:after="120"/>
        <w:ind w:firstLine="720"/>
        <w:rPr>
          <w:i/>
          <w:color w:val="auto"/>
          <w:sz w:val="28"/>
          <w:szCs w:val="28"/>
        </w:rPr>
      </w:pPr>
      <w:r w:rsidRPr="00340AA5">
        <w:rPr>
          <w:i/>
          <w:color w:val="auto"/>
          <w:sz w:val="28"/>
          <w:szCs w:val="28"/>
        </w:rPr>
        <w:t>2.1. Vi phạm quy định về nghĩa vụ của công ty đại chúng</w:t>
      </w:r>
      <w:r w:rsidR="00240329">
        <w:rPr>
          <w:i/>
          <w:color w:val="auto"/>
          <w:sz w:val="28"/>
          <w:szCs w:val="28"/>
        </w:rPr>
        <w:t>, tổ chức phát hành chứng khoán</w:t>
      </w:r>
    </w:p>
    <w:p w:rsidR="00323989" w:rsidRDefault="00EF6E5B" w:rsidP="00EF6E5B">
      <w:pPr>
        <w:spacing w:before="120" w:after="120"/>
        <w:ind w:firstLine="720"/>
        <w:rPr>
          <w:color w:val="auto"/>
          <w:sz w:val="28"/>
          <w:szCs w:val="28"/>
          <w:lang w:val="nl-NL"/>
        </w:rPr>
      </w:pPr>
      <w:r w:rsidRPr="006B191E">
        <w:rPr>
          <w:color w:val="auto"/>
          <w:sz w:val="28"/>
          <w:szCs w:val="28"/>
          <w:lang w:val="nl-NL"/>
        </w:rPr>
        <w:lastRenderedPageBreak/>
        <w:t>Các hành vi vi phạm của công ty đại chúng, tổ chức phát hành thường tập trung vào một số dạng hành vi như: vi phạm chế độ báo, công bố thông tin</w:t>
      </w:r>
      <w:r w:rsidR="00240329">
        <w:rPr>
          <w:color w:val="auto"/>
          <w:sz w:val="28"/>
          <w:szCs w:val="28"/>
          <w:lang w:val="nl-NL"/>
        </w:rPr>
        <w:t>; vi phạm mua lại cổ phiếu, thay đổi phương án sử dụng vốn không thông qua Đại hội đồng cổ đông (ĐHĐCĐ); vi phạm quy định về quản trị công ty đại chúng; chậm đăng ký công ty đại chúng hoặc đăng ký giao dịch</w:t>
      </w:r>
      <w:r w:rsidRPr="00D6457C">
        <w:rPr>
          <w:color w:val="auto"/>
          <w:sz w:val="28"/>
          <w:szCs w:val="28"/>
          <w:lang w:val="nl-NL"/>
        </w:rPr>
        <w:t>.</w:t>
      </w:r>
      <w:r w:rsidR="006B191E" w:rsidRPr="00D6457C">
        <w:rPr>
          <w:color w:val="auto"/>
          <w:sz w:val="28"/>
          <w:szCs w:val="28"/>
          <w:lang w:val="nl-NL"/>
        </w:rPr>
        <w:t xml:space="preserve"> </w:t>
      </w:r>
    </w:p>
    <w:p w:rsidR="0084638F" w:rsidRDefault="00323989" w:rsidP="00EF6E5B">
      <w:pPr>
        <w:spacing w:before="120" w:after="120"/>
        <w:ind w:firstLine="720"/>
        <w:rPr>
          <w:color w:val="auto"/>
          <w:sz w:val="28"/>
          <w:szCs w:val="28"/>
          <w:lang w:val="nl-NL"/>
        </w:rPr>
      </w:pPr>
      <w:r>
        <w:rPr>
          <w:color w:val="auto"/>
          <w:sz w:val="28"/>
          <w:szCs w:val="28"/>
          <w:lang w:val="nl-NL"/>
        </w:rPr>
        <w:t>N</w:t>
      </w:r>
      <w:r w:rsidR="001F6CBE" w:rsidRPr="00D6457C">
        <w:rPr>
          <w:color w:val="auto"/>
          <w:sz w:val="28"/>
          <w:szCs w:val="28"/>
          <w:lang w:val="nl-NL"/>
        </w:rPr>
        <w:t>hóm</w:t>
      </w:r>
      <w:r w:rsidR="0084638F" w:rsidRPr="00D6457C">
        <w:rPr>
          <w:color w:val="auto"/>
          <w:sz w:val="28"/>
          <w:szCs w:val="28"/>
          <w:lang w:val="nl-NL"/>
        </w:rPr>
        <w:t xml:space="preserve"> hành vi vi phạm </w:t>
      </w:r>
      <w:r w:rsidR="00240329">
        <w:rPr>
          <w:color w:val="auto"/>
          <w:sz w:val="28"/>
          <w:szCs w:val="28"/>
          <w:lang w:val="nl-NL"/>
        </w:rPr>
        <w:t>của công ty đại chúng, tổ chức phát hành trong 0</w:t>
      </w:r>
      <w:r w:rsidR="00A72372">
        <w:rPr>
          <w:color w:val="auto"/>
          <w:sz w:val="28"/>
          <w:szCs w:val="28"/>
          <w:lang w:val="nl-NL"/>
        </w:rPr>
        <w:t>6</w:t>
      </w:r>
      <w:r w:rsidR="00240329">
        <w:rPr>
          <w:color w:val="auto"/>
          <w:sz w:val="28"/>
          <w:szCs w:val="28"/>
          <w:lang w:val="nl-NL"/>
        </w:rPr>
        <w:t xml:space="preserve"> tháng đầu năm 2021 chiếm 1</w:t>
      </w:r>
      <w:r w:rsidR="00A72372">
        <w:rPr>
          <w:color w:val="auto"/>
          <w:sz w:val="28"/>
          <w:szCs w:val="28"/>
          <w:lang w:val="nl-NL"/>
        </w:rPr>
        <w:t>0,5</w:t>
      </w:r>
      <w:r w:rsidR="00240329">
        <w:rPr>
          <w:color w:val="auto"/>
          <w:sz w:val="28"/>
          <w:szCs w:val="28"/>
          <w:lang w:val="nl-NL"/>
        </w:rPr>
        <w:t xml:space="preserve">% tổng số trường hợp xử phạt, trong đó chủ yếu là vi phạm </w:t>
      </w:r>
      <w:r w:rsidR="0084638F" w:rsidRPr="00D6457C">
        <w:rPr>
          <w:color w:val="auto"/>
          <w:sz w:val="28"/>
          <w:szCs w:val="28"/>
          <w:lang w:val="nl-NL"/>
        </w:rPr>
        <w:t>chế độ báo, công bố thông tin của công ty đại chúng</w:t>
      </w:r>
      <w:r w:rsidR="00240329">
        <w:rPr>
          <w:color w:val="auto"/>
          <w:sz w:val="28"/>
          <w:szCs w:val="28"/>
          <w:lang w:val="nl-NL"/>
        </w:rPr>
        <w:t>, xuất phát từ</w:t>
      </w:r>
      <w:r>
        <w:rPr>
          <w:color w:val="auto"/>
          <w:sz w:val="28"/>
          <w:szCs w:val="28"/>
          <w:lang w:val="nl-NL"/>
        </w:rPr>
        <w:t xml:space="preserve"> số lượng nghĩa vụ báo cáo, công bố thông tin của công ty đại chúng chiếm phần lớn trong số nghĩa vụ thường xuyên của </w:t>
      </w:r>
      <w:r w:rsidR="00240329">
        <w:rPr>
          <w:color w:val="auto"/>
          <w:sz w:val="28"/>
          <w:szCs w:val="28"/>
          <w:lang w:val="nl-NL"/>
        </w:rPr>
        <w:t>công ty đại chúng</w:t>
      </w:r>
      <w:r w:rsidR="001F6CBE" w:rsidRPr="00D6457C">
        <w:rPr>
          <w:color w:val="auto"/>
          <w:sz w:val="28"/>
          <w:szCs w:val="28"/>
          <w:lang w:val="nl-NL"/>
        </w:rPr>
        <w:t>.</w:t>
      </w:r>
    </w:p>
    <w:p w:rsidR="00EF6E5B" w:rsidRPr="00752464" w:rsidRDefault="00EF6E5B" w:rsidP="0052556D">
      <w:pPr>
        <w:spacing w:before="120" w:after="120"/>
        <w:ind w:firstLine="720"/>
        <w:rPr>
          <w:i/>
          <w:color w:val="auto"/>
          <w:sz w:val="28"/>
          <w:szCs w:val="28"/>
          <w:lang w:val="nl-NL"/>
        </w:rPr>
      </w:pPr>
      <w:r w:rsidRPr="00752464">
        <w:rPr>
          <w:i/>
          <w:color w:val="auto"/>
          <w:sz w:val="28"/>
          <w:szCs w:val="28"/>
          <w:lang w:val="nl-NL"/>
        </w:rPr>
        <w:t>2.2. Vi phạ</w:t>
      </w:r>
      <w:r w:rsidR="00E8727E" w:rsidRPr="00752464">
        <w:rPr>
          <w:i/>
          <w:color w:val="auto"/>
          <w:sz w:val="28"/>
          <w:szCs w:val="28"/>
          <w:lang w:val="nl-NL"/>
        </w:rPr>
        <w:t xml:space="preserve">m </w:t>
      </w:r>
      <w:r w:rsidRPr="00752464">
        <w:rPr>
          <w:i/>
          <w:color w:val="auto"/>
          <w:sz w:val="28"/>
          <w:szCs w:val="28"/>
          <w:lang w:val="nl-NL"/>
        </w:rPr>
        <w:t>quy định về hoạt động của tổ chức kinh doanh chứng khoán</w:t>
      </w:r>
    </w:p>
    <w:p w:rsidR="009206BE" w:rsidRDefault="00240329" w:rsidP="004C70E3">
      <w:pPr>
        <w:spacing w:before="120" w:after="120"/>
        <w:ind w:firstLine="720"/>
        <w:rPr>
          <w:color w:val="auto"/>
          <w:sz w:val="28"/>
          <w:szCs w:val="28"/>
          <w:lang w:val="nl-NL"/>
        </w:rPr>
      </w:pPr>
      <w:r>
        <w:rPr>
          <w:color w:val="auto"/>
          <w:sz w:val="28"/>
          <w:szCs w:val="28"/>
          <w:lang w:val="nl-NL"/>
        </w:rPr>
        <w:t>Trong 0</w:t>
      </w:r>
      <w:r w:rsidR="00A72372">
        <w:rPr>
          <w:color w:val="auto"/>
          <w:sz w:val="28"/>
          <w:szCs w:val="28"/>
          <w:lang w:val="nl-NL"/>
        </w:rPr>
        <w:t>6</w:t>
      </w:r>
      <w:r>
        <w:rPr>
          <w:color w:val="auto"/>
          <w:sz w:val="28"/>
          <w:szCs w:val="28"/>
          <w:lang w:val="nl-NL"/>
        </w:rPr>
        <w:t xml:space="preserve"> tháng đầu năm 2021, có 02 công ty chứng khoán bị xử phạt về các hành vi: c</w:t>
      </w:r>
      <w:r w:rsidRPr="00240329">
        <w:rPr>
          <w:color w:val="auto"/>
          <w:sz w:val="28"/>
          <w:szCs w:val="28"/>
          <w:lang w:val="nl-NL"/>
        </w:rPr>
        <w:t>ho khách hàng mua chứng khoán khi không có đủ tiền theo quy định</w:t>
      </w:r>
      <w:r>
        <w:rPr>
          <w:color w:val="auto"/>
          <w:sz w:val="28"/>
          <w:szCs w:val="28"/>
          <w:lang w:val="nl-NL"/>
        </w:rPr>
        <w:t>;</w:t>
      </w:r>
      <w:r w:rsidRPr="00240329">
        <w:rPr>
          <w:color w:val="auto"/>
          <w:sz w:val="28"/>
          <w:szCs w:val="28"/>
          <w:lang w:val="nl-NL"/>
        </w:rPr>
        <w:t xml:space="preserve"> </w:t>
      </w:r>
      <w:r>
        <w:rPr>
          <w:color w:val="auto"/>
          <w:sz w:val="28"/>
          <w:szCs w:val="28"/>
          <w:lang w:val="nl-NL"/>
        </w:rPr>
        <w:t>k</w:t>
      </w:r>
      <w:r w:rsidRPr="00240329">
        <w:rPr>
          <w:color w:val="auto"/>
          <w:sz w:val="28"/>
          <w:szCs w:val="28"/>
          <w:lang w:val="nl-NL"/>
        </w:rPr>
        <w:t>hông lưu giữ đầy đủ hồ sơ, dữ liệu, tài liệu, chứng từ liên quan đến hoạt động của công ty chứng khoán</w:t>
      </w:r>
      <w:r>
        <w:rPr>
          <w:color w:val="auto"/>
          <w:sz w:val="28"/>
          <w:szCs w:val="28"/>
          <w:lang w:val="nl-NL"/>
        </w:rPr>
        <w:t>.</w:t>
      </w:r>
      <w:r w:rsidR="004C70E3">
        <w:rPr>
          <w:color w:val="auto"/>
          <w:sz w:val="28"/>
          <w:szCs w:val="28"/>
          <w:lang w:val="nl-NL"/>
        </w:rPr>
        <w:t xml:space="preserve"> </w:t>
      </w:r>
    </w:p>
    <w:p w:rsidR="00EF6E5B" w:rsidRPr="00752464" w:rsidRDefault="00EF6E5B" w:rsidP="0052556D">
      <w:pPr>
        <w:spacing w:before="120" w:after="120"/>
        <w:ind w:firstLine="720"/>
        <w:rPr>
          <w:i/>
          <w:color w:val="auto"/>
          <w:sz w:val="28"/>
          <w:szCs w:val="28"/>
          <w:lang w:val="nl-NL"/>
        </w:rPr>
      </w:pPr>
      <w:r w:rsidRPr="00752464">
        <w:rPr>
          <w:i/>
          <w:color w:val="auto"/>
          <w:sz w:val="28"/>
          <w:szCs w:val="28"/>
          <w:lang w:val="nl-NL"/>
        </w:rPr>
        <w:t xml:space="preserve">2.3. Vi phạm quy định về giao dịch chứng khoán </w:t>
      </w:r>
      <w:r w:rsidR="0014460F">
        <w:rPr>
          <w:i/>
          <w:color w:val="auto"/>
          <w:sz w:val="28"/>
          <w:szCs w:val="28"/>
          <w:lang w:val="nl-NL"/>
        </w:rPr>
        <w:t xml:space="preserve">bị cấm </w:t>
      </w:r>
      <w:r w:rsidR="004C70E3">
        <w:rPr>
          <w:i/>
          <w:color w:val="auto"/>
          <w:sz w:val="28"/>
          <w:szCs w:val="28"/>
          <w:lang w:val="nl-NL"/>
        </w:rPr>
        <w:t>(</w:t>
      </w:r>
      <w:r w:rsidRPr="00752464">
        <w:rPr>
          <w:i/>
          <w:color w:val="auto"/>
          <w:sz w:val="28"/>
          <w:szCs w:val="28"/>
          <w:lang w:val="nl-NL"/>
        </w:rPr>
        <w:t>giao dịch thao túng thị trường</w:t>
      </w:r>
      <w:r w:rsidR="004C70E3">
        <w:rPr>
          <w:i/>
          <w:color w:val="auto"/>
          <w:sz w:val="28"/>
          <w:szCs w:val="28"/>
          <w:lang w:val="nl-NL"/>
        </w:rPr>
        <w:t>)</w:t>
      </w:r>
    </w:p>
    <w:p w:rsidR="00EF6E5B" w:rsidRDefault="00EF6E5B" w:rsidP="004C70E3">
      <w:pPr>
        <w:spacing w:before="120" w:after="120"/>
        <w:ind w:firstLine="720"/>
        <w:rPr>
          <w:color w:val="auto"/>
          <w:sz w:val="28"/>
          <w:szCs w:val="28"/>
          <w:lang w:val="nl-NL"/>
        </w:rPr>
      </w:pPr>
      <w:r w:rsidRPr="00752464">
        <w:rPr>
          <w:color w:val="auto"/>
          <w:sz w:val="28"/>
          <w:szCs w:val="28"/>
          <w:lang w:val="nl-NL"/>
        </w:rPr>
        <w:t xml:space="preserve">Thao túng là hành vi bị cấm, có mức xử phạt rất cao, vi phạm nghiêm trọng có thể bị xử lý hình sự. Trong </w:t>
      </w:r>
      <w:r w:rsidR="004C70E3">
        <w:rPr>
          <w:color w:val="auto"/>
          <w:sz w:val="28"/>
          <w:szCs w:val="28"/>
          <w:lang w:val="nl-NL"/>
        </w:rPr>
        <w:t>0</w:t>
      </w:r>
      <w:r w:rsidR="00BC7188">
        <w:rPr>
          <w:color w:val="auto"/>
          <w:sz w:val="28"/>
          <w:szCs w:val="28"/>
          <w:lang w:val="nl-NL"/>
        </w:rPr>
        <w:t>6</w:t>
      </w:r>
      <w:r w:rsidR="004C70E3">
        <w:rPr>
          <w:color w:val="auto"/>
          <w:sz w:val="28"/>
          <w:szCs w:val="28"/>
          <w:lang w:val="nl-NL"/>
        </w:rPr>
        <w:t xml:space="preserve"> tháng đầu năm 2021, có 02 trường hợp thao túng cổ phiếu bị xử phạt hành chính với mức phạt 550 triệu đồng/cá nhân theo Nghị định </w:t>
      </w:r>
      <w:r w:rsidR="00BC7188">
        <w:rPr>
          <w:color w:val="auto"/>
          <w:sz w:val="28"/>
          <w:szCs w:val="28"/>
          <w:lang w:val="nl-NL"/>
        </w:rPr>
        <w:t xml:space="preserve">số </w:t>
      </w:r>
      <w:r w:rsidR="004C70E3">
        <w:rPr>
          <w:color w:val="auto"/>
          <w:sz w:val="28"/>
          <w:szCs w:val="28"/>
          <w:lang w:val="nl-NL"/>
        </w:rPr>
        <w:t xml:space="preserve">108/2013/NĐ-CP và Nghị định </w:t>
      </w:r>
      <w:r w:rsidR="00BC7188">
        <w:rPr>
          <w:color w:val="auto"/>
          <w:sz w:val="28"/>
          <w:szCs w:val="28"/>
          <w:lang w:val="nl-NL"/>
        </w:rPr>
        <w:t xml:space="preserve">số </w:t>
      </w:r>
      <w:r w:rsidR="004C70E3">
        <w:rPr>
          <w:color w:val="auto"/>
          <w:sz w:val="28"/>
          <w:szCs w:val="28"/>
          <w:lang w:val="nl-NL"/>
        </w:rPr>
        <w:t>145/2016/NĐ-CP. Các giao dịch thao túng có tính chất phức tạp, thường cần nhiều thời gian theo dõi, giám sát, xác minh, làm việc với đối tượng nghi vấn để làm rõ hành vi và xử lý.</w:t>
      </w:r>
    </w:p>
    <w:p w:rsidR="00EF6E5B" w:rsidRPr="00752464" w:rsidRDefault="00EF6E5B" w:rsidP="0052556D">
      <w:pPr>
        <w:spacing w:before="120" w:after="120"/>
        <w:ind w:firstLine="720"/>
        <w:rPr>
          <w:i/>
          <w:color w:val="auto"/>
          <w:sz w:val="28"/>
          <w:szCs w:val="28"/>
          <w:lang w:val="nl-NL"/>
        </w:rPr>
      </w:pPr>
      <w:r w:rsidRPr="00752464">
        <w:rPr>
          <w:i/>
          <w:color w:val="auto"/>
          <w:sz w:val="28"/>
          <w:szCs w:val="28"/>
          <w:lang w:val="nl-NL"/>
        </w:rPr>
        <w:t>2.4. Vi phạm nghĩa vụ báo cáo khi giao dịch của cổ đông nội bộ và người có liên quan của tổ chức niêm yết, nghĩa vụ báo cáo về sở hữu của cổ đông lớn</w:t>
      </w:r>
    </w:p>
    <w:p w:rsidR="001F6CBE" w:rsidRDefault="004C70E3" w:rsidP="00E76F6C">
      <w:pPr>
        <w:spacing w:before="120" w:after="120"/>
        <w:ind w:firstLine="720"/>
        <w:rPr>
          <w:color w:val="auto"/>
          <w:sz w:val="28"/>
          <w:szCs w:val="28"/>
          <w:lang w:val="nl-NL"/>
        </w:rPr>
      </w:pPr>
      <w:r>
        <w:rPr>
          <w:color w:val="auto"/>
          <w:sz w:val="28"/>
          <w:szCs w:val="28"/>
          <w:lang w:val="nl-NL"/>
        </w:rPr>
        <w:t>Tương tự giai đoạn trước, n</w:t>
      </w:r>
      <w:r w:rsidR="00EF6E5B" w:rsidRPr="00752464">
        <w:rPr>
          <w:color w:val="auto"/>
          <w:sz w:val="28"/>
          <w:szCs w:val="28"/>
          <w:lang w:val="nl-NL"/>
        </w:rPr>
        <w:t xml:space="preserve">hóm vi phạm nghĩa vụ báo cáo khi giao dịch của cổ đông nội bộ và người có liên quan của tổ chức niêm yết, nghĩa vụ báo cáo về thay đổi tỷ lệ sở hữu của cổ đông lớn là nhóm vi phạm </w:t>
      </w:r>
      <w:r w:rsidR="009B5C25">
        <w:rPr>
          <w:color w:val="auto"/>
          <w:sz w:val="28"/>
          <w:szCs w:val="28"/>
          <w:lang w:val="nl-NL"/>
        </w:rPr>
        <w:t xml:space="preserve">chiếm </w:t>
      </w:r>
      <w:r w:rsidR="00EF6E5B" w:rsidRPr="00752464">
        <w:rPr>
          <w:color w:val="auto"/>
          <w:sz w:val="28"/>
          <w:szCs w:val="28"/>
          <w:lang w:val="nl-NL"/>
        </w:rPr>
        <w:t xml:space="preserve">tỷ lệ cao </w:t>
      </w:r>
      <w:r w:rsidR="009B5C25">
        <w:rPr>
          <w:color w:val="auto"/>
          <w:sz w:val="28"/>
          <w:szCs w:val="28"/>
          <w:lang w:val="nl-NL"/>
        </w:rPr>
        <w:t xml:space="preserve">nhất trong số các vi phạm hành chính </w:t>
      </w:r>
      <w:r>
        <w:rPr>
          <w:color w:val="auto"/>
          <w:sz w:val="28"/>
          <w:szCs w:val="28"/>
          <w:lang w:val="nl-NL"/>
        </w:rPr>
        <w:t>bị xử phạt trong 0</w:t>
      </w:r>
      <w:r w:rsidR="00BC7188">
        <w:rPr>
          <w:color w:val="auto"/>
          <w:sz w:val="28"/>
          <w:szCs w:val="28"/>
          <w:lang w:val="nl-NL"/>
        </w:rPr>
        <w:t>6</w:t>
      </w:r>
      <w:r>
        <w:rPr>
          <w:color w:val="auto"/>
          <w:sz w:val="28"/>
          <w:szCs w:val="28"/>
          <w:lang w:val="nl-NL"/>
        </w:rPr>
        <w:t xml:space="preserve"> tháng đầu năm 2021,</w:t>
      </w:r>
      <w:r w:rsidR="009B5C25">
        <w:rPr>
          <w:color w:val="auto"/>
          <w:sz w:val="28"/>
          <w:szCs w:val="28"/>
          <w:lang w:val="nl-NL"/>
        </w:rPr>
        <w:t xml:space="preserve"> (chiếm</w:t>
      </w:r>
      <w:r>
        <w:rPr>
          <w:color w:val="auto"/>
          <w:sz w:val="28"/>
          <w:szCs w:val="28"/>
          <w:lang w:val="nl-NL"/>
        </w:rPr>
        <w:t xml:space="preserve"> 8</w:t>
      </w:r>
      <w:r w:rsidR="00BC7188">
        <w:rPr>
          <w:color w:val="auto"/>
          <w:sz w:val="28"/>
          <w:szCs w:val="28"/>
          <w:lang w:val="nl-NL"/>
        </w:rPr>
        <w:t>6</w:t>
      </w:r>
      <w:r>
        <w:rPr>
          <w:color w:val="auto"/>
          <w:sz w:val="28"/>
          <w:szCs w:val="28"/>
          <w:lang w:val="nl-NL"/>
        </w:rPr>
        <w:t>,</w:t>
      </w:r>
      <w:r w:rsidR="00BC7188">
        <w:rPr>
          <w:color w:val="auto"/>
          <w:sz w:val="28"/>
          <w:szCs w:val="28"/>
          <w:lang w:val="nl-NL"/>
        </w:rPr>
        <w:t>31</w:t>
      </w:r>
      <w:r>
        <w:rPr>
          <w:color w:val="auto"/>
          <w:sz w:val="28"/>
          <w:szCs w:val="28"/>
          <w:lang w:val="nl-NL"/>
        </w:rPr>
        <w:t>% tổng số vi phạm bị xử phạt</w:t>
      </w:r>
      <w:r w:rsidR="009B5C25">
        <w:rPr>
          <w:color w:val="auto"/>
          <w:sz w:val="28"/>
          <w:szCs w:val="28"/>
          <w:lang w:val="nl-NL"/>
        </w:rPr>
        <w:t>)</w:t>
      </w:r>
      <w:r w:rsidR="00EF6E5B" w:rsidRPr="00752464">
        <w:rPr>
          <w:color w:val="auto"/>
          <w:sz w:val="28"/>
          <w:szCs w:val="28"/>
          <w:lang w:val="nl-NL"/>
        </w:rPr>
        <w:t xml:space="preserve">. </w:t>
      </w:r>
    </w:p>
    <w:p w:rsidR="004C70E3" w:rsidRDefault="00EF6E5B" w:rsidP="00E76F6C">
      <w:pPr>
        <w:spacing w:before="120" w:after="120"/>
        <w:ind w:firstLine="720"/>
        <w:rPr>
          <w:color w:val="auto"/>
          <w:sz w:val="28"/>
          <w:szCs w:val="28"/>
          <w:lang w:val="nl-NL"/>
        </w:rPr>
      </w:pPr>
      <w:r w:rsidRPr="00752464">
        <w:rPr>
          <w:color w:val="auto"/>
          <w:sz w:val="28"/>
          <w:szCs w:val="28"/>
          <w:lang w:val="nl-NL"/>
        </w:rPr>
        <w:t xml:space="preserve">Vi phạm của cổ đông lớn chủ yếu gồm: chậm báo cáo trở thành cổ đông lớn, chậm/không báo cáo khi giao dịch làm thay đổi các ngưỡng sở hữu 1%. Vi phạm của cổ đông nội bộ và người có liên quan chủ yếu gồm: không báo cáo </w:t>
      </w:r>
      <w:r w:rsidR="004C70E3">
        <w:rPr>
          <w:color w:val="auto"/>
          <w:sz w:val="28"/>
          <w:szCs w:val="28"/>
          <w:lang w:val="nl-NL"/>
        </w:rPr>
        <w:t>về việc dự kiến</w:t>
      </w:r>
      <w:r w:rsidRPr="00752464">
        <w:rPr>
          <w:color w:val="auto"/>
          <w:sz w:val="28"/>
          <w:szCs w:val="28"/>
          <w:lang w:val="nl-NL"/>
        </w:rPr>
        <w:t xml:space="preserve"> giao dịch, giao dịch không đúng thời hạn</w:t>
      </w:r>
      <w:r w:rsidR="004C70E3">
        <w:rPr>
          <w:color w:val="auto"/>
          <w:sz w:val="28"/>
          <w:szCs w:val="28"/>
          <w:lang w:val="nl-NL"/>
        </w:rPr>
        <w:t>/khối lượng</w:t>
      </w:r>
      <w:r w:rsidRPr="00752464">
        <w:rPr>
          <w:color w:val="auto"/>
          <w:sz w:val="28"/>
          <w:szCs w:val="28"/>
          <w:lang w:val="nl-NL"/>
        </w:rPr>
        <w:t xml:space="preserve"> đã đăng ký, chậm báo cáo kết quả giao dịch</w:t>
      </w:r>
      <w:r w:rsidR="004C70E3">
        <w:rPr>
          <w:color w:val="auto"/>
          <w:sz w:val="28"/>
          <w:szCs w:val="28"/>
          <w:lang w:val="nl-NL"/>
        </w:rPr>
        <w:t>, giao dịch trước khi Sở giao dịch chứng khoán công bố thông tin về dự kiến giao dịch</w:t>
      </w:r>
      <w:r w:rsidRPr="00752464">
        <w:rPr>
          <w:color w:val="auto"/>
          <w:sz w:val="28"/>
          <w:szCs w:val="28"/>
          <w:lang w:val="nl-NL"/>
        </w:rPr>
        <w:t>...</w:t>
      </w:r>
    </w:p>
    <w:p w:rsidR="00BA7526" w:rsidRDefault="00BA7526" w:rsidP="00BA7526">
      <w:pPr>
        <w:spacing w:before="120" w:after="120"/>
        <w:ind w:firstLine="720"/>
        <w:rPr>
          <w:color w:val="auto"/>
          <w:sz w:val="28"/>
          <w:szCs w:val="28"/>
          <w:lang w:val="nl-NL"/>
        </w:rPr>
      </w:pPr>
      <w:r w:rsidRPr="00BA7526">
        <w:rPr>
          <w:rFonts w:eastAsia="Times New Roman"/>
          <w:color w:val="auto"/>
          <w:sz w:val="28"/>
          <w:szCs w:val="28"/>
          <w:lang w:val="nl-NL"/>
        </w:rPr>
        <w:t>Vi phạm</w:t>
      </w:r>
      <w:r>
        <w:rPr>
          <w:rFonts w:eastAsia="Times New Roman"/>
          <w:color w:val="auto"/>
          <w:sz w:val="28"/>
          <w:szCs w:val="28"/>
          <w:lang w:val="nl-NL"/>
        </w:rPr>
        <w:t xml:space="preserve"> của nhóm cổ đông lớn, </w:t>
      </w:r>
      <w:r w:rsidRPr="00752464">
        <w:rPr>
          <w:color w:val="auto"/>
          <w:sz w:val="28"/>
          <w:szCs w:val="28"/>
          <w:lang w:val="nl-NL"/>
        </w:rPr>
        <w:t>cổ đông nội bộ và người có liên quan</w:t>
      </w:r>
      <w:r>
        <w:rPr>
          <w:color w:val="auto"/>
          <w:sz w:val="28"/>
          <w:szCs w:val="28"/>
          <w:lang w:val="nl-NL"/>
        </w:rPr>
        <w:t xml:space="preserve"> áp dụng cả Nghị định </w:t>
      </w:r>
      <w:r w:rsidR="00BC7188">
        <w:rPr>
          <w:color w:val="auto"/>
          <w:sz w:val="28"/>
          <w:szCs w:val="28"/>
          <w:lang w:val="nl-NL"/>
        </w:rPr>
        <w:t xml:space="preserve">số </w:t>
      </w:r>
      <w:r>
        <w:rPr>
          <w:color w:val="auto"/>
          <w:sz w:val="28"/>
          <w:szCs w:val="28"/>
          <w:lang w:val="nl-NL"/>
        </w:rPr>
        <w:t xml:space="preserve">108/2013/NĐ-CP được sửa đổi theo Nghị định </w:t>
      </w:r>
      <w:r w:rsidR="00BC7188">
        <w:rPr>
          <w:color w:val="auto"/>
          <w:sz w:val="28"/>
          <w:szCs w:val="28"/>
          <w:lang w:val="nl-NL"/>
        </w:rPr>
        <w:t xml:space="preserve">số </w:t>
      </w:r>
      <w:r>
        <w:rPr>
          <w:color w:val="auto"/>
          <w:sz w:val="28"/>
          <w:szCs w:val="28"/>
          <w:lang w:val="nl-NL"/>
        </w:rPr>
        <w:t xml:space="preserve">145/2016/NĐ-CP và Nghị định </w:t>
      </w:r>
      <w:r w:rsidR="00BC7188">
        <w:rPr>
          <w:color w:val="auto"/>
          <w:sz w:val="28"/>
          <w:szCs w:val="28"/>
          <w:lang w:val="nl-NL"/>
        </w:rPr>
        <w:t xml:space="preserve">số </w:t>
      </w:r>
      <w:r>
        <w:rPr>
          <w:color w:val="auto"/>
          <w:sz w:val="28"/>
          <w:szCs w:val="28"/>
          <w:lang w:val="nl-NL"/>
        </w:rPr>
        <w:t>156</w:t>
      </w:r>
      <w:r w:rsidR="00BC7188">
        <w:rPr>
          <w:color w:val="auto"/>
          <w:sz w:val="28"/>
          <w:szCs w:val="28"/>
          <w:lang w:val="nl-NL"/>
        </w:rPr>
        <w:t>/2020/NĐ-CP</w:t>
      </w:r>
      <w:r>
        <w:rPr>
          <w:color w:val="auto"/>
          <w:sz w:val="28"/>
          <w:szCs w:val="28"/>
          <w:lang w:val="nl-NL"/>
        </w:rPr>
        <w:t xml:space="preserve">, trong đó </w:t>
      </w:r>
      <w:r w:rsidR="00BC7188">
        <w:rPr>
          <w:color w:val="auto"/>
          <w:sz w:val="28"/>
          <w:szCs w:val="28"/>
          <w:lang w:val="nl-NL"/>
        </w:rPr>
        <w:t>4</w:t>
      </w:r>
      <w:r>
        <w:rPr>
          <w:color w:val="auto"/>
          <w:sz w:val="28"/>
          <w:szCs w:val="28"/>
          <w:lang w:val="nl-NL"/>
        </w:rPr>
        <w:t>0 trường hợp xử phạt theo Nghị định số 156</w:t>
      </w:r>
      <w:r w:rsidR="00BC7188">
        <w:rPr>
          <w:color w:val="auto"/>
          <w:sz w:val="28"/>
          <w:szCs w:val="28"/>
          <w:lang w:val="nl-NL"/>
        </w:rPr>
        <w:t>/2020/NĐ-CP</w:t>
      </w:r>
      <w:r>
        <w:rPr>
          <w:color w:val="auto"/>
          <w:sz w:val="28"/>
          <w:szCs w:val="28"/>
          <w:lang w:val="nl-NL"/>
        </w:rPr>
        <w:t xml:space="preserve"> với mức phạt từ </w:t>
      </w:r>
      <w:r w:rsidR="00BC7188">
        <w:rPr>
          <w:color w:val="auto"/>
          <w:sz w:val="28"/>
          <w:szCs w:val="28"/>
          <w:lang w:val="nl-NL"/>
        </w:rPr>
        <w:t>3,75</w:t>
      </w:r>
      <w:r>
        <w:rPr>
          <w:color w:val="auto"/>
          <w:sz w:val="28"/>
          <w:szCs w:val="28"/>
          <w:lang w:val="nl-NL"/>
        </w:rPr>
        <w:t>-</w:t>
      </w:r>
      <w:r w:rsidR="00BC7188">
        <w:rPr>
          <w:color w:val="auto"/>
          <w:sz w:val="28"/>
          <w:szCs w:val="28"/>
          <w:lang w:val="nl-NL"/>
        </w:rPr>
        <w:t>90</w:t>
      </w:r>
      <w:r>
        <w:rPr>
          <w:color w:val="auto"/>
          <w:sz w:val="28"/>
          <w:szCs w:val="28"/>
          <w:lang w:val="nl-NL"/>
        </w:rPr>
        <w:t xml:space="preserve"> triệu đồng. </w:t>
      </w:r>
    </w:p>
    <w:p w:rsidR="008F4D6F" w:rsidRPr="008F4D6F" w:rsidRDefault="008F4D6F" w:rsidP="00BA7526">
      <w:pPr>
        <w:spacing w:before="120" w:after="120"/>
        <w:ind w:firstLine="720"/>
        <w:rPr>
          <w:i/>
          <w:color w:val="auto"/>
          <w:sz w:val="28"/>
          <w:szCs w:val="28"/>
          <w:lang w:val="nl-NL"/>
        </w:rPr>
      </w:pPr>
      <w:r w:rsidRPr="008F4D6F">
        <w:rPr>
          <w:i/>
          <w:color w:val="auto"/>
          <w:sz w:val="28"/>
          <w:szCs w:val="28"/>
          <w:lang w:val="nl-NL"/>
        </w:rPr>
        <w:t>2.5. Vi phạm khác</w:t>
      </w:r>
    </w:p>
    <w:p w:rsidR="008F4D6F" w:rsidRDefault="008F4D6F" w:rsidP="00BA7526">
      <w:pPr>
        <w:spacing w:before="120" w:after="120"/>
        <w:ind w:firstLine="720"/>
        <w:rPr>
          <w:color w:val="auto"/>
          <w:sz w:val="28"/>
          <w:szCs w:val="28"/>
          <w:lang w:val="nl-NL"/>
        </w:rPr>
      </w:pPr>
      <w:r>
        <w:rPr>
          <w:color w:val="auto"/>
          <w:sz w:val="28"/>
          <w:szCs w:val="28"/>
          <w:lang w:val="nl-NL"/>
        </w:rPr>
        <w:t xml:space="preserve">Trong </w:t>
      </w:r>
      <w:r w:rsidR="00BC7188">
        <w:rPr>
          <w:color w:val="auto"/>
          <w:sz w:val="28"/>
          <w:szCs w:val="28"/>
          <w:lang w:val="nl-NL"/>
        </w:rPr>
        <w:t>06</w:t>
      </w:r>
      <w:r>
        <w:rPr>
          <w:color w:val="auto"/>
          <w:sz w:val="28"/>
          <w:szCs w:val="28"/>
          <w:lang w:val="nl-NL"/>
        </w:rPr>
        <w:t xml:space="preserve"> tháng đầu năm 2021, ngoài các nhóm vi phạm chủ yếu và thường xuyên nêu trên, UBCKNN cũng lần đầu tiên xử phạt 01 trường hợp tổ chức nước ngoài t</w:t>
      </w:r>
      <w:r w:rsidRPr="008F4D6F">
        <w:rPr>
          <w:color w:val="auto"/>
          <w:sz w:val="28"/>
          <w:szCs w:val="28"/>
          <w:lang w:val="nl-NL"/>
        </w:rPr>
        <w:t>hực hiện một hoặc một số giao dịch nhằm che giấu quyền sở hữu thực sự đối với một chứng khoán để trốn tránh nghĩa vụ công bố thông tin theo quy định</w:t>
      </w:r>
      <w:r>
        <w:rPr>
          <w:color w:val="auto"/>
          <w:sz w:val="28"/>
          <w:szCs w:val="28"/>
          <w:lang w:val="nl-NL"/>
        </w:rPr>
        <w:t xml:space="preserve"> và v</w:t>
      </w:r>
      <w:r w:rsidRPr="008F4D6F">
        <w:rPr>
          <w:color w:val="auto"/>
          <w:sz w:val="28"/>
          <w:szCs w:val="28"/>
          <w:lang w:val="nl-NL"/>
        </w:rPr>
        <w:t>i phạm tỷ lệ nắm giữ chứng khoán của nhà đầu tư nước ngoài</w:t>
      </w:r>
      <w:r>
        <w:rPr>
          <w:color w:val="auto"/>
          <w:sz w:val="28"/>
          <w:szCs w:val="28"/>
          <w:lang w:val="nl-NL"/>
        </w:rPr>
        <w:t>, theo đó đã xử phạt 185 triệu đồng đối với 02 hành vi vi phạm và áp dụng biện pháp khắc phục hậu quả b</w:t>
      </w:r>
      <w:r w:rsidRPr="008F4D6F">
        <w:rPr>
          <w:color w:val="auto"/>
          <w:sz w:val="28"/>
          <w:szCs w:val="28"/>
          <w:lang w:val="nl-NL"/>
        </w:rPr>
        <w:t xml:space="preserve">uộc phải chuyển nhượng cổ phiếu trong thời hạn tối đa 60 ngày để giảm tỷ lệ nắm giữ theo đúng quy định </w:t>
      </w:r>
      <w:r>
        <w:rPr>
          <w:color w:val="auto"/>
          <w:sz w:val="28"/>
          <w:szCs w:val="28"/>
          <w:lang w:val="nl-NL"/>
        </w:rPr>
        <w:t>theo</w:t>
      </w:r>
      <w:r w:rsidRPr="008F4D6F">
        <w:rPr>
          <w:color w:val="auto"/>
          <w:sz w:val="28"/>
          <w:szCs w:val="28"/>
          <w:lang w:val="nl-NL"/>
        </w:rPr>
        <w:t xml:space="preserve"> Nghị định số 108/2013/NĐ-CP</w:t>
      </w:r>
      <w:r>
        <w:rPr>
          <w:color w:val="auto"/>
          <w:sz w:val="28"/>
          <w:szCs w:val="28"/>
          <w:lang w:val="nl-NL"/>
        </w:rPr>
        <w:t>. Đây là vụ việc vi phạm có tính chất phức tạp, có sự phối hợp của nhiều cơ quan trong phát hiện, xác minh, làm rõ vi phạm và trao đổi thống nhất ý kiến về xử lý vi phạm.</w:t>
      </w:r>
    </w:p>
    <w:p w:rsidR="00EF6E5B" w:rsidRPr="00752464" w:rsidRDefault="00EF6E5B" w:rsidP="0052556D">
      <w:pPr>
        <w:spacing w:before="120" w:after="120"/>
        <w:ind w:firstLine="720"/>
        <w:rPr>
          <w:rFonts w:eastAsia="Times New Roman"/>
          <w:b/>
          <w:color w:val="auto"/>
          <w:sz w:val="28"/>
          <w:szCs w:val="28"/>
          <w:lang w:val="pt-BR"/>
        </w:rPr>
      </w:pPr>
      <w:r w:rsidRPr="00752464">
        <w:rPr>
          <w:rFonts w:eastAsia="Times New Roman"/>
          <w:b/>
          <w:color w:val="auto"/>
          <w:sz w:val="28"/>
          <w:szCs w:val="28"/>
          <w:lang w:val="nl-NL"/>
        </w:rPr>
        <w:t>3.</w:t>
      </w:r>
      <w:r w:rsidRPr="00752464">
        <w:rPr>
          <w:rFonts w:eastAsia="Times New Roman"/>
          <w:b/>
          <w:color w:val="auto"/>
          <w:sz w:val="28"/>
          <w:szCs w:val="28"/>
          <w:lang w:val="pt-BR"/>
        </w:rPr>
        <w:t xml:space="preserve"> Đánh giá </w:t>
      </w:r>
      <w:r w:rsidR="007C3867">
        <w:rPr>
          <w:rFonts w:eastAsia="Times New Roman"/>
          <w:b/>
          <w:color w:val="auto"/>
          <w:sz w:val="28"/>
          <w:szCs w:val="28"/>
          <w:lang w:val="pt-BR"/>
        </w:rPr>
        <w:t xml:space="preserve">việc </w:t>
      </w:r>
      <w:r w:rsidRPr="00752464">
        <w:rPr>
          <w:rFonts w:eastAsia="Times New Roman"/>
          <w:b/>
          <w:color w:val="auto"/>
          <w:sz w:val="28"/>
          <w:szCs w:val="28"/>
          <w:lang w:val="pt-BR"/>
        </w:rPr>
        <w:t xml:space="preserve">thực thi Nghị định </w:t>
      </w:r>
      <w:r w:rsidR="007C3867">
        <w:rPr>
          <w:rFonts w:eastAsia="Times New Roman"/>
          <w:b/>
          <w:color w:val="auto"/>
          <w:sz w:val="28"/>
          <w:szCs w:val="28"/>
          <w:lang w:val="pt-BR"/>
        </w:rPr>
        <w:t xml:space="preserve">số </w:t>
      </w:r>
      <w:r w:rsidR="00502B14">
        <w:rPr>
          <w:rFonts w:eastAsia="Times New Roman"/>
          <w:b/>
          <w:color w:val="auto"/>
          <w:sz w:val="28"/>
          <w:szCs w:val="28"/>
          <w:lang w:val="pt-BR"/>
        </w:rPr>
        <w:t>156</w:t>
      </w:r>
      <w:r w:rsidR="007C3867">
        <w:rPr>
          <w:rFonts w:eastAsia="Times New Roman"/>
          <w:b/>
          <w:color w:val="auto"/>
          <w:sz w:val="28"/>
          <w:szCs w:val="28"/>
          <w:lang w:val="pt-BR"/>
        </w:rPr>
        <w:t>/2020/NĐ-CP</w:t>
      </w:r>
    </w:p>
    <w:p w:rsidR="00EF6E5B" w:rsidRPr="00752464" w:rsidRDefault="00EF6E5B" w:rsidP="0052556D">
      <w:pPr>
        <w:spacing w:before="120" w:after="120"/>
        <w:ind w:firstLine="709"/>
        <w:rPr>
          <w:rFonts w:eastAsia="Times New Roman"/>
          <w:b/>
          <w:color w:val="auto"/>
          <w:sz w:val="28"/>
          <w:szCs w:val="28"/>
          <w:lang w:val="pt-BR"/>
        </w:rPr>
      </w:pPr>
      <w:r w:rsidRPr="00752464">
        <w:rPr>
          <w:rFonts w:eastAsia="Times New Roman"/>
          <w:b/>
          <w:color w:val="auto"/>
          <w:sz w:val="28"/>
          <w:szCs w:val="28"/>
          <w:lang w:val="pt-BR"/>
        </w:rPr>
        <w:t>3.1. Mặt được</w:t>
      </w:r>
    </w:p>
    <w:p w:rsidR="00F4359C" w:rsidRDefault="00EF6E5B" w:rsidP="00EF6E5B">
      <w:pPr>
        <w:spacing w:before="120" w:after="120"/>
        <w:ind w:firstLine="709"/>
        <w:rPr>
          <w:color w:val="auto"/>
          <w:sz w:val="28"/>
          <w:szCs w:val="28"/>
          <w:lang w:val="pt-BR"/>
        </w:rPr>
      </w:pPr>
      <w:r w:rsidRPr="009F51C0">
        <w:rPr>
          <w:color w:val="auto"/>
          <w:sz w:val="28"/>
          <w:szCs w:val="28"/>
          <w:lang w:val="pt-BR"/>
        </w:rPr>
        <w:t xml:space="preserve">- Việc ban hành Nghị định </w:t>
      </w:r>
      <w:r w:rsidR="007C3867">
        <w:rPr>
          <w:color w:val="auto"/>
          <w:sz w:val="28"/>
          <w:szCs w:val="28"/>
          <w:lang w:val="pt-BR"/>
        </w:rPr>
        <w:t xml:space="preserve">số </w:t>
      </w:r>
      <w:r w:rsidR="00502B14">
        <w:rPr>
          <w:color w:val="auto"/>
          <w:sz w:val="28"/>
          <w:szCs w:val="28"/>
          <w:lang w:val="pt-BR"/>
        </w:rPr>
        <w:t>156</w:t>
      </w:r>
      <w:r w:rsidR="007C3867">
        <w:rPr>
          <w:color w:val="auto"/>
          <w:sz w:val="28"/>
          <w:szCs w:val="28"/>
          <w:lang w:val="pt-BR"/>
        </w:rPr>
        <w:t>/2020/NĐ-CP</w:t>
      </w:r>
      <w:r w:rsidR="009F51C0" w:rsidRPr="009F51C0">
        <w:rPr>
          <w:color w:val="auto"/>
          <w:sz w:val="28"/>
          <w:szCs w:val="28"/>
          <w:lang w:val="pt-BR"/>
        </w:rPr>
        <w:t xml:space="preserve"> </w:t>
      </w:r>
      <w:r w:rsidRPr="009F51C0">
        <w:rPr>
          <w:color w:val="auto"/>
          <w:sz w:val="28"/>
          <w:szCs w:val="28"/>
          <w:lang w:val="pt-BR"/>
        </w:rPr>
        <w:t xml:space="preserve">cùng với Thông tư hướng dẫn </w:t>
      </w:r>
      <w:r w:rsidR="00502B14">
        <w:rPr>
          <w:color w:val="auto"/>
          <w:sz w:val="28"/>
          <w:szCs w:val="28"/>
          <w:lang w:val="pt-BR"/>
        </w:rPr>
        <w:t xml:space="preserve">về phương pháp tính khoản thu trái pháp luật, số lợi bất hợp pháp </w:t>
      </w:r>
      <w:r w:rsidR="00502B14" w:rsidRPr="009F51C0">
        <w:rPr>
          <w:color w:val="auto"/>
          <w:sz w:val="28"/>
          <w:szCs w:val="28"/>
          <w:lang w:val="pt-BR"/>
        </w:rPr>
        <w:t xml:space="preserve">(Thông tư số </w:t>
      </w:r>
      <w:r w:rsidR="00502B14">
        <w:rPr>
          <w:color w:val="auto"/>
          <w:sz w:val="28"/>
          <w:szCs w:val="28"/>
          <w:lang w:val="pt-BR"/>
        </w:rPr>
        <w:t>1</w:t>
      </w:r>
      <w:r w:rsidR="00502B14" w:rsidRPr="009F51C0">
        <w:rPr>
          <w:color w:val="auto"/>
          <w:sz w:val="28"/>
          <w:szCs w:val="28"/>
          <w:lang w:val="pt-BR"/>
        </w:rPr>
        <w:t>17/20</w:t>
      </w:r>
      <w:r w:rsidR="00502B14">
        <w:rPr>
          <w:color w:val="auto"/>
          <w:sz w:val="28"/>
          <w:szCs w:val="28"/>
          <w:lang w:val="pt-BR"/>
        </w:rPr>
        <w:t>20</w:t>
      </w:r>
      <w:r w:rsidR="00502B14" w:rsidRPr="009F51C0">
        <w:rPr>
          <w:color w:val="auto"/>
          <w:sz w:val="28"/>
          <w:szCs w:val="28"/>
          <w:lang w:val="pt-BR"/>
        </w:rPr>
        <w:t>/TT-BTC</w:t>
      </w:r>
      <w:r w:rsidR="00502B14">
        <w:rPr>
          <w:color w:val="auto"/>
          <w:sz w:val="28"/>
          <w:szCs w:val="28"/>
          <w:lang w:val="pt-BR"/>
        </w:rPr>
        <w:t xml:space="preserve"> </w:t>
      </w:r>
      <w:r w:rsidR="00502B14" w:rsidRPr="009F51C0">
        <w:rPr>
          <w:color w:val="auto"/>
          <w:sz w:val="28"/>
          <w:szCs w:val="28"/>
          <w:lang w:val="pt-BR"/>
        </w:rPr>
        <w:t>ngày 31/12/20</w:t>
      </w:r>
      <w:r w:rsidR="00502B14">
        <w:rPr>
          <w:color w:val="auto"/>
          <w:sz w:val="28"/>
          <w:szCs w:val="28"/>
          <w:lang w:val="pt-BR"/>
        </w:rPr>
        <w:t>20 của Bộ trường Bộ Tài chính</w:t>
      </w:r>
      <w:r w:rsidR="00502B14" w:rsidRPr="009F51C0">
        <w:rPr>
          <w:color w:val="auto"/>
          <w:sz w:val="28"/>
          <w:szCs w:val="28"/>
          <w:lang w:val="pt-BR"/>
        </w:rPr>
        <w:t>)</w:t>
      </w:r>
      <w:r w:rsidR="00502B14">
        <w:rPr>
          <w:color w:val="auto"/>
          <w:sz w:val="28"/>
          <w:szCs w:val="28"/>
          <w:lang w:val="pt-BR"/>
        </w:rPr>
        <w:t xml:space="preserve"> </w:t>
      </w:r>
      <w:r w:rsidRPr="009F51C0">
        <w:rPr>
          <w:color w:val="auto"/>
          <w:sz w:val="28"/>
          <w:szCs w:val="28"/>
          <w:lang w:val="pt-BR"/>
        </w:rPr>
        <w:t xml:space="preserve">đã </w:t>
      </w:r>
      <w:r w:rsidR="00F4359C">
        <w:rPr>
          <w:color w:val="auto"/>
          <w:sz w:val="28"/>
          <w:szCs w:val="28"/>
          <w:lang w:val="pt-BR"/>
        </w:rPr>
        <w:t>tạo cơ sở</w:t>
      </w:r>
      <w:r w:rsidRPr="009F51C0">
        <w:rPr>
          <w:color w:val="auto"/>
          <w:sz w:val="28"/>
          <w:szCs w:val="28"/>
          <w:lang w:val="pt-BR"/>
        </w:rPr>
        <w:t xml:space="preserve"> pháp lý </w:t>
      </w:r>
      <w:r w:rsidR="00502B14">
        <w:rPr>
          <w:color w:val="auto"/>
          <w:sz w:val="28"/>
          <w:szCs w:val="28"/>
          <w:lang w:val="pt-BR"/>
        </w:rPr>
        <w:t xml:space="preserve">đồng bộ </w:t>
      </w:r>
      <w:r w:rsidRPr="009F51C0">
        <w:rPr>
          <w:color w:val="auto"/>
          <w:sz w:val="28"/>
          <w:szCs w:val="28"/>
          <w:lang w:val="pt-BR"/>
        </w:rPr>
        <w:t xml:space="preserve">về xử </w:t>
      </w:r>
      <w:r w:rsidR="00502B14">
        <w:rPr>
          <w:color w:val="auto"/>
          <w:sz w:val="28"/>
          <w:szCs w:val="28"/>
          <w:lang w:val="pt-BR"/>
        </w:rPr>
        <w:t xml:space="preserve">phạt </w:t>
      </w:r>
      <w:r w:rsidRPr="009F51C0">
        <w:rPr>
          <w:color w:val="auto"/>
          <w:sz w:val="28"/>
          <w:szCs w:val="28"/>
          <w:lang w:val="pt-BR"/>
        </w:rPr>
        <w:t xml:space="preserve">vi phạm hành chính trong lĩnh vực </w:t>
      </w:r>
      <w:r w:rsidR="007C3867">
        <w:rPr>
          <w:color w:val="auto"/>
          <w:sz w:val="28"/>
          <w:szCs w:val="28"/>
          <w:lang w:val="pt-BR"/>
        </w:rPr>
        <w:t>CK</w:t>
      </w:r>
      <w:r w:rsidRPr="009F51C0">
        <w:rPr>
          <w:color w:val="auto"/>
          <w:sz w:val="28"/>
          <w:szCs w:val="28"/>
          <w:lang w:val="pt-BR"/>
        </w:rPr>
        <w:t xml:space="preserve"> và TTCK, đảm bảo </w:t>
      </w:r>
      <w:r w:rsidR="00F4359C">
        <w:rPr>
          <w:color w:val="auto"/>
          <w:sz w:val="28"/>
          <w:szCs w:val="28"/>
          <w:lang w:val="pt-BR"/>
        </w:rPr>
        <w:t xml:space="preserve">thực thi </w:t>
      </w:r>
      <w:r w:rsidR="00502B14">
        <w:rPr>
          <w:color w:val="auto"/>
          <w:sz w:val="28"/>
          <w:szCs w:val="28"/>
          <w:lang w:val="pt-BR"/>
        </w:rPr>
        <w:t>hệ thống pháp luật chứng khoán mới (Luật chứng khoán 2019 và các văn bản hướng dẫn thi hành) có hiệu lực từ ngày 01/01/2021. Từ đó góp phần</w:t>
      </w:r>
      <w:r w:rsidR="00F4359C">
        <w:rPr>
          <w:color w:val="auto"/>
          <w:sz w:val="28"/>
          <w:szCs w:val="28"/>
          <w:lang w:val="pt-BR"/>
        </w:rPr>
        <w:t xml:space="preserve"> đảm bảo hiệu lực </w:t>
      </w:r>
      <w:r w:rsidR="00502B14">
        <w:rPr>
          <w:color w:val="auto"/>
          <w:sz w:val="28"/>
          <w:szCs w:val="28"/>
          <w:lang w:val="pt-BR"/>
        </w:rPr>
        <w:t xml:space="preserve">thực thi cơ chế chính sách, pháp luật về chứng khoán và hiệu quả </w:t>
      </w:r>
      <w:r w:rsidR="00F4359C">
        <w:rPr>
          <w:color w:val="auto"/>
          <w:sz w:val="28"/>
          <w:szCs w:val="28"/>
          <w:lang w:val="pt-BR"/>
        </w:rPr>
        <w:t>quản lý nhà nước đối với TTCK, giúp TTCK vận hành an toàn, ổn định, lành mạnh.</w:t>
      </w:r>
    </w:p>
    <w:p w:rsidR="00EF6E5B" w:rsidRPr="009F51C0" w:rsidRDefault="00F4359C" w:rsidP="00EF6E5B">
      <w:pPr>
        <w:spacing w:before="120" w:after="120"/>
        <w:ind w:firstLine="709"/>
        <w:rPr>
          <w:color w:val="auto"/>
          <w:sz w:val="28"/>
          <w:szCs w:val="28"/>
          <w:lang w:val="pt-BR"/>
        </w:rPr>
      </w:pPr>
      <w:r>
        <w:rPr>
          <w:color w:val="auto"/>
          <w:sz w:val="28"/>
          <w:szCs w:val="28"/>
          <w:lang w:val="pt-BR"/>
        </w:rPr>
        <w:t xml:space="preserve">- Việc xử </w:t>
      </w:r>
      <w:r w:rsidR="00502B14">
        <w:rPr>
          <w:color w:val="auto"/>
          <w:sz w:val="28"/>
          <w:szCs w:val="28"/>
          <w:lang w:val="pt-BR"/>
        </w:rPr>
        <w:t xml:space="preserve">phạt </w:t>
      </w:r>
      <w:r>
        <w:rPr>
          <w:color w:val="auto"/>
          <w:sz w:val="28"/>
          <w:szCs w:val="28"/>
          <w:lang w:val="pt-BR"/>
        </w:rPr>
        <w:t xml:space="preserve">các vi phạm pháp luật trên thị trường cùng với việc chấn chỉnh khắc phục vi phạm giúp bảo </w:t>
      </w:r>
      <w:r w:rsidR="00502B14">
        <w:rPr>
          <w:color w:val="auto"/>
          <w:sz w:val="28"/>
          <w:szCs w:val="28"/>
          <w:lang w:val="pt-BR"/>
        </w:rPr>
        <w:t>đảm kỷ cương, kỷ luật, pháp chế trên TTCK</w:t>
      </w:r>
      <w:r>
        <w:rPr>
          <w:color w:val="auto"/>
          <w:sz w:val="28"/>
          <w:szCs w:val="28"/>
          <w:lang w:val="pt-BR"/>
        </w:rPr>
        <w:t>, bảo vệ quyền và lợi ích hợp pháp của tổ chức, cá nhân tham gia TTCK</w:t>
      </w:r>
      <w:r w:rsidR="00502B14">
        <w:rPr>
          <w:color w:val="auto"/>
          <w:sz w:val="28"/>
          <w:szCs w:val="28"/>
          <w:lang w:val="pt-BR"/>
        </w:rPr>
        <w:t xml:space="preserve"> trong quá trình triển khai thực thi các văn bản pháp luật chứng khoán mới</w:t>
      </w:r>
      <w:r>
        <w:rPr>
          <w:color w:val="auto"/>
          <w:sz w:val="28"/>
          <w:szCs w:val="28"/>
          <w:lang w:val="pt-BR"/>
        </w:rPr>
        <w:t xml:space="preserve">. </w:t>
      </w:r>
    </w:p>
    <w:p w:rsidR="00EF6E5B" w:rsidRPr="009F51C0" w:rsidRDefault="00EF6E5B" w:rsidP="00EF6E5B">
      <w:pPr>
        <w:pStyle w:val="NormalWeb"/>
        <w:spacing w:before="120" w:beforeAutospacing="0" w:after="120" w:afterAutospacing="0"/>
        <w:ind w:firstLine="720"/>
        <w:jc w:val="both"/>
        <w:rPr>
          <w:sz w:val="28"/>
          <w:szCs w:val="28"/>
          <w:lang w:val="nl-NL"/>
        </w:rPr>
      </w:pPr>
      <w:r w:rsidRPr="009F51C0">
        <w:rPr>
          <w:sz w:val="28"/>
          <w:szCs w:val="28"/>
          <w:lang w:val="pt-BR"/>
        </w:rPr>
        <w:t xml:space="preserve">- Nghị định </w:t>
      </w:r>
      <w:r w:rsidR="007C3867">
        <w:rPr>
          <w:sz w:val="28"/>
          <w:szCs w:val="28"/>
          <w:lang w:val="pt-BR"/>
        </w:rPr>
        <w:t xml:space="preserve">số </w:t>
      </w:r>
      <w:r w:rsidR="00502B14">
        <w:rPr>
          <w:sz w:val="28"/>
          <w:szCs w:val="28"/>
          <w:lang w:val="pt-BR"/>
        </w:rPr>
        <w:t>156</w:t>
      </w:r>
      <w:r w:rsidR="007C3867">
        <w:rPr>
          <w:sz w:val="28"/>
          <w:szCs w:val="28"/>
          <w:lang w:val="pt-BR"/>
        </w:rPr>
        <w:t>/2020/NĐ-CP</w:t>
      </w:r>
      <w:r w:rsidRPr="009F51C0">
        <w:rPr>
          <w:sz w:val="28"/>
          <w:szCs w:val="28"/>
          <w:lang w:val="pt-BR"/>
        </w:rPr>
        <w:t xml:space="preserve"> </w:t>
      </w:r>
      <w:r w:rsidR="007C3867">
        <w:rPr>
          <w:sz w:val="28"/>
          <w:szCs w:val="28"/>
          <w:lang w:val="pt-BR"/>
        </w:rPr>
        <w:t>tăng mạnh</w:t>
      </w:r>
      <w:r w:rsidRPr="009F51C0">
        <w:rPr>
          <w:sz w:val="28"/>
          <w:szCs w:val="28"/>
          <w:lang w:val="pt-BR"/>
        </w:rPr>
        <w:t xml:space="preserve"> mức phạt </w:t>
      </w:r>
      <w:r w:rsidR="007C3867">
        <w:rPr>
          <w:sz w:val="28"/>
          <w:szCs w:val="28"/>
          <w:lang w:val="pt-BR"/>
        </w:rPr>
        <w:t xml:space="preserve">tiền </w:t>
      </w:r>
      <w:r w:rsidRPr="009F51C0">
        <w:rPr>
          <w:sz w:val="28"/>
          <w:szCs w:val="28"/>
          <w:lang w:val="pt-BR"/>
        </w:rPr>
        <w:t>đối với những hành vi vi phạm nghiêm trọng, ảnh hưởng lớn đến TTCK, đến quyền và lợi ích hợp pháp của tổ chức cá nhân</w:t>
      </w:r>
      <w:r w:rsidR="00502B14">
        <w:rPr>
          <w:sz w:val="28"/>
          <w:szCs w:val="28"/>
          <w:lang w:val="pt-BR"/>
        </w:rPr>
        <w:t xml:space="preserve"> đã tạo tính răn đe phòng ngừa vi phạm pháp luật, từ đó nâng cao ý thức tuân thủ pháp luật của các tổ chức, cá nhân tham gia thị trường</w:t>
      </w:r>
      <w:r w:rsidRPr="009F51C0">
        <w:rPr>
          <w:sz w:val="28"/>
          <w:szCs w:val="28"/>
          <w:lang w:val="pt-BR"/>
        </w:rPr>
        <w:t>.</w:t>
      </w:r>
    </w:p>
    <w:p w:rsidR="00EF6E5B" w:rsidRPr="000D140E" w:rsidRDefault="00EF6E5B" w:rsidP="0052556D">
      <w:pPr>
        <w:spacing w:before="120" w:after="120"/>
        <w:ind w:firstLine="709"/>
        <w:rPr>
          <w:rFonts w:eastAsia="Times New Roman"/>
          <w:b/>
          <w:color w:val="auto"/>
          <w:sz w:val="28"/>
          <w:szCs w:val="28"/>
          <w:lang w:val="nl-NL"/>
        </w:rPr>
      </w:pPr>
      <w:r w:rsidRPr="00AE17C6">
        <w:rPr>
          <w:rFonts w:eastAsia="Times New Roman"/>
          <w:b/>
          <w:color w:val="auto"/>
          <w:sz w:val="28"/>
          <w:szCs w:val="28"/>
          <w:lang w:val="nl-NL"/>
        </w:rPr>
        <w:t>3.2. Mặt tồn tại</w:t>
      </w:r>
    </w:p>
    <w:p w:rsidR="00EB3546" w:rsidRDefault="00EF6E5B" w:rsidP="00502B14">
      <w:pPr>
        <w:spacing w:before="120" w:after="120"/>
        <w:ind w:firstLine="709"/>
        <w:rPr>
          <w:i/>
          <w:color w:val="auto"/>
          <w:sz w:val="28"/>
          <w:szCs w:val="28"/>
          <w:lang w:val="nl-NL"/>
        </w:rPr>
      </w:pPr>
      <w:r w:rsidRPr="000D140E">
        <w:rPr>
          <w:i/>
          <w:color w:val="auto"/>
          <w:sz w:val="28"/>
          <w:szCs w:val="28"/>
          <w:lang w:val="nl-NL"/>
        </w:rPr>
        <w:t xml:space="preserve">3.2.1. </w:t>
      </w:r>
      <w:r w:rsidR="00F85644">
        <w:rPr>
          <w:i/>
          <w:color w:val="auto"/>
          <w:sz w:val="28"/>
          <w:szCs w:val="28"/>
          <w:lang w:val="nl-NL"/>
        </w:rPr>
        <w:t xml:space="preserve">Nghị định </w:t>
      </w:r>
      <w:r w:rsidR="007C3867">
        <w:rPr>
          <w:i/>
          <w:color w:val="auto"/>
          <w:sz w:val="28"/>
          <w:szCs w:val="28"/>
          <w:lang w:val="nl-NL"/>
        </w:rPr>
        <w:t xml:space="preserve">số </w:t>
      </w:r>
      <w:r w:rsidR="00F85644">
        <w:rPr>
          <w:i/>
          <w:color w:val="auto"/>
          <w:sz w:val="28"/>
          <w:szCs w:val="28"/>
          <w:lang w:val="nl-NL"/>
        </w:rPr>
        <w:t>156</w:t>
      </w:r>
      <w:r w:rsidR="007C3867">
        <w:rPr>
          <w:i/>
          <w:color w:val="auto"/>
          <w:sz w:val="28"/>
          <w:szCs w:val="28"/>
          <w:lang w:val="nl-NL"/>
        </w:rPr>
        <w:t>/2020/NĐ-CP</w:t>
      </w:r>
      <w:r w:rsidR="00F85644">
        <w:rPr>
          <w:i/>
          <w:color w:val="auto"/>
          <w:sz w:val="28"/>
          <w:szCs w:val="28"/>
          <w:lang w:val="nl-NL"/>
        </w:rPr>
        <w:t xml:space="preserve"> được xây dựng và ban hành khi Nghị định hướng dẫn Luật Xử lý vi phạm hành chính (sửa đổi) chưa được ban hành</w:t>
      </w:r>
      <w:r w:rsidR="007C3867">
        <w:rPr>
          <w:i/>
          <w:color w:val="auto"/>
          <w:sz w:val="28"/>
          <w:szCs w:val="28"/>
          <w:lang w:val="nl-NL"/>
        </w:rPr>
        <w:t xml:space="preserve"> </w:t>
      </w:r>
    </w:p>
    <w:p w:rsidR="00EB3546" w:rsidRDefault="00F85644" w:rsidP="00F85644">
      <w:pPr>
        <w:spacing w:before="120" w:after="120"/>
        <w:ind w:firstLine="709"/>
        <w:rPr>
          <w:color w:val="auto"/>
          <w:sz w:val="28"/>
          <w:szCs w:val="28"/>
          <w:lang w:val="nl-NL"/>
        </w:rPr>
      </w:pPr>
      <w:r>
        <w:rPr>
          <w:color w:val="auto"/>
          <w:sz w:val="28"/>
          <w:szCs w:val="28"/>
          <w:lang w:val="nl-NL"/>
        </w:rPr>
        <w:t xml:space="preserve">Nghị định </w:t>
      </w:r>
      <w:r w:rsidR="007C3867">
        <w:rPr>
          <w:color w:val="auto"/>
          <w:sz w:val="28"/>
          <w:szCs w:val="28"/>
          <w:lang w:val="nl-NL"/>
        </w:rPr>
        <w:t xml:space="preserve">số </w:t>
      </w:r>
      <w:r>
        <w:rPr>
          <w:color w:val="auto"/>
          <w:sz w:val="28"/>
          <w:szCs w:val="28"/>
          <w:lang w:val="nl-NL"/>
        </w:rPr>
        <w:t>156</w:t>
      </w:r>
      <w:r w:rsidR="007C3867">
        <w:rPr>
          <w:color w:val="auto"/>
          <w:sz w:val="28"/>
          <w:szCs w:val="28"/>
          <w:lang w:val="nl-NL"/>
        </w:rPr>
        <w:t>/2020/NĐ-CP</w:t>
      </w:r>
      <w:r>
        <w:rPr>
          <w:color w:val="auto"/>
          <w:sz w:val="28"/>
          <w:szCs w:val="28"/>
          <w:lang w:val="nl-NL"/>
        </w:rPr>
        <w:t xml:space="preserve"> được xây dựng khi Luật </w:t>
      </w:r>
      <w:r w:rsidRPr="00F85644">
        <w:rPr>
          <w:color w:val="auto"/>
          <w:sz w:val="28"/>
          <w:szCs w:val="28"/>
          <w:lang w:val="nl-NL"/>
        </w:rPr>
        <w:t>Xử lý vi phạm hành chính (sửa đổi)</w:t>
      </w:r>
      <w:r>
        <w:rPr>
          <w:color w:val="auto"/>
          <w:sz w:val="28"/>
          <w:szCs w:val="28"/>
          <w:lang w:val="nl-NL"/>
        </w:rPr>
        <w:t xml:space="preserve"> năm 2020 đã được ban hành nhưng chưa có hiệu lực thi hành (từ 01/01/2022). Do vậy, Nghị định </w:t>
      </w:r>
      <w:r w:rsidR="007C3867">
        <w:rPr>
          <w:color w:val="auto"/>
          <w:sz w:val="28"/>
          <w:szCs w:val="28"/>
          <w:lang w:val="nl-NL"/>
        </w:rPr>
        <w:t xml:space="preserve">số </w:t>
      </w:r>
      <w:r>
        <w:rPr>
          <w:color w:val="auto"/>
          <w:sz w:val="28"/>
          <w:szCs w:val="28"/>
          <w:lang w:val="nl-NL"/>
        </w:rPr>
        <w:t>156</w:t>
      </w:r>
      <w:r w:rsidR="007C3867">
        <w:rPr>
          <w:color w:val="auto"/>
          <w:sz w:val="28"/>
          <w:szCs w:val="28"/>
          <w:lang w:val="nl-NL"/>
        </w:rPr>
        <w:t>/2020/NĐ-CP</w:t>
      </w:r>
      <w:r>
        <w:rPr>
          <w:color w:val="auto"/>
          <w:sz w:val="28"/>
          <w:szCs w:val="28"/>
          <w:lang w:val="nl-NL"/>
        </w:rPr>
        <w:t xml:space="preserve"> </w:t>
      </w:r>
      <w:r w:rsidR="00515EA9">
        <w:rPr>
          <w:color w:val="auto"/>
          <w:sz w:val="28"/>
          <w:szCs w:val="28"/>
          <w:lang w:val="nl-NL"/>
        </w:rPr>
        <w:t xml:space="preserve">đã tham chiếu để phù hợp với </w:t>
      </w:r>
      <w:r>
        <w:rPr>
          <w:color w:val="auto"/>
          <w:sz w:val="28"/>
          <w:szCs w:val="28"/>
          <w:lang w:val="nl-NL"/>
        </w:rPr>
        <w:t xml:space="preserve">nội dung tại Luật </w:t>
      </w:r>
      <w:r w:rsidR="007C3867">
        <w:rPr>
          <w:color w:val="auto"/>
          <w:sz w:val="28"/>
          <w:szCs w:val="28"/>
          <w:lang w:val="nl-NL"/>
        </w:rPr>
        <w:t xml:space="preserve">sửa đổi bổ sung một số điều của Luật </w:t>
      </w:r>
      <w:r w:rsidRPr="00F85644">
        <w:rPr>
          <w:color w:val="auto"/>
          <w:sz w:val="28"/>
          <w:szCs w:val="28"/>
          <w:lang w:val="nl-NL"/>
        </w:rPr>
        <w:t xml:space="preserve">Xử lý vi phạm hành chính </w:t>
      </w:r>
      <w:r w:rsidR="007C3867">
        <w:rPr>
          <w:color w:val="auto"/>
          <w:sz w:val="28"/>
          <w:szCs w:val="28"/>
          <w:lang w:val="nl-NL"/>
        </w:rPr>
        <w:t>(</w:t>
      </w:r>
      <w:r>
        <w:rPr>
          <w:color w:val="auto"/>
          <w:sz w:val="28"/>
          <w:szCs w:val="28"/>
          <w:lang w:val="nl-NL"/>
        </w:rPr>
        <w:t>năm 2020</w:t>
      </w:r>
      <w:r w:rsidR="007C3867">
        <w:rPr>
          <w:color w:val="auto"/>
          <w:sz w:val="28"/>
          <w:szCs w:val="28"/>
          <w:lang w:val="nl-NL"/>
        </w:rPr>
        <w:t>)</w:t>
      </w:r>
      <w:r w:rsidR="00515EA9">
        <w:rPr>
          <w:color w:val="auto"/>
          <w:sz w:val="28"/>
          <w:szCs w:val="28"/>
          <w:lang w:val="nl-NL"/>
        </w:rPr>
        <w:t xml:space="preserve"> nhưng đối với những nội dung</w:t>
      </w:r>
      <w:r>
        <w:rPr>
          <w:color w:val="auto"/>
          <w:sz w:val="28"/>
          <w:szCs w:val="28"/>
          <w:lang w:val="nl-NL"/>
        </w:rPr>
        <w:t xml:space="preserve"> giao Chính phủ quy định </w:t>
      </w:r>
      <w:r w:rsidR="00515EA9">
        <w:rPr>
          <w:color w:val="auto"/>
          <w:sz w:val="28"/>
          <w:szCs w:val="28"/>
          <w:lang w:val="nl-NL"/>
        </w:rPr>
        <w:t xml:space="preserve">thì chưa có Nghị định hướng dẫn Luật nên chưa có cơ sở để điều chỉnh nội dung chi tiết tại Nghị định </w:t>
      </w:r>
      <w:r w:rsidR="007C3867">
        <w:rPr>
          <w:color w:val="auto"/>
          <w:sz w:val="28"/>
          <w:szCs w:val="28"/>
          <w:lang w:val="nl-NL"/>
        </w:rPr>
        <w:t xml:space="preserve">số </w:t>
      </w:r>
      <w:r w:rsidR="00515EA9">
        <w:rPr>
          <w:color w:val="auto"/>
          <w:sz w:val="28"/>
          <w:szCs w:val="28"/>
          <w:lang w:val="nl-NL"/>
        </w:rPr>
        <w:t>156</w:t>
      </w:r>
      <w:r w:rsidR="007C3867">
        <w:rPr>
          <w:color w:val="auto"/>
          <w:sz w:val="28"/>
          <w:szCs w:val="28"/>
          <w:lang w:val="nl-NL"/>
        </w:rPr>
        <w:t>/2020/NĐ-CP</w:t>
      </w:r>
      <w:r w:rsidR="00515EA9">
        <w:rPr>
          <w:color w:val="auto"/>
          <w:sz w:val="28"/>
          <w:szCs w:val="28"/>
          <w:lang w:val="nl-NL"/>
        </w:rPr>
        <w:t>.</w:t>
      </w:r>
    </w:p>
    <w:p w:rsidR="00515EA9" w:rsidRPr="00515EA9" w:rsidRDefault="00515EA9" w:rsidP="00515EA9">
      <w:pPr>
        <w:spacing w:before="120" w:after="120"/>
        <w:ind w:firstLine="709"/>
        <w:rPr>
          <w:color w:val="auto"/>
          <w:sz w:val="28"/>
          <w:szCs w:val="28"/>
          <w:lang w:val="nl-NL"/>
        </w:rPr>
      </w:pPr>
      <w:r>
        <w:rPr>
          <w:color w:val="auto"/>
          <w:sz w:val="28"/>
          <w:szCs w:val="28"/>
          <w:lang w:val="nl-NL"/>
        </w:rPr>
        <w:t xml:space="preserve">Hiện nay, Bộ Tư pháp đang xây dựng </w:t>
      </w:r>
      <w:r w:rsidRPr="00515EA9">
        <w:rPr>
          <w:color w:val="auto"/>
          <w:sz w:val="28"/>
          <w:szCs w:val="28"/>
          <w:lang w:val="nl-NL"/>
        </w:rPr>
        <w:t xml:space="preserve">Nghị định quy định chi tiết một số điều và biện pháp thi hành </w:t>
      </w:r>
      <w:r>
        <w:rPr>
          <w:color w:val="auto"/>
          <w:sz w:val="28"/>
          <w:szCs w:val="28"/>
          <w:lang w:val="nl-NL"/>
        </w:rPr>
        <w:t xml:space="preserve">Luật </w:t>
      </w:r>
      <w:r w:rsidRPr="00F85644">
        <w:rPr>
          <w:color w:val="auto"/>
          <w:sz w:val="28"/>
          <w:szCs w:val="28"/>
          <w:lang w:val="nl-NL"/>
        </w:rPr>
        <w:t>Xử lý vi phạm hành chính</w:t>
      </w:r>
      <w:r>
        <w:rPr>
          <w:color w:val="auto"/>
          <w:sz w:val="28"/>
          <w:szCs w:val="28"/>
          <w:lang w:val="nl-NL"/>
        </w:rPr>
        <w:t xml:space="preserve"> 2012 và </w:t>
      </w:r>
      <w:r w:rsidR="007C3867">
        <w:rPr>
          <w:color w:val="auto"/>
          <w:sz w:val="28"/>
          <w:szCs w:val="28"/>
          <w:lang w:val="nl-NL"/>
        </w:rPr>
        <w:t xml:space="preserve">Luật sửa đổi bổ sung một số điều của Luật </w:t>
      </w:r>
      <w:r w:rsidR="007C3867" w:rsidRPr="00F85644">
        <w:rPr>
          <w:color w:val="auto"/>
          <w:sz w:val="28"/>
          <w:szCs w:val="28"/>
          <w:lang w:val="nl-NL"/>
        </w:rPr>
        <w:t>Xử lý vi phạm hành chính</w:t>
      </w:r>
      <w:r>
        <w:rPr>
          <w:color w:val="auto"/>
          <w:sz w:val="28"/>
          <w:szCs w:val="28"/>
          <w:lang w:val="nl-NL"/>
        </w:rPr>
        <w:t xml:space="preserve">, theo đó dự kiến yêu cầu các Nghị định xử phạt trong lĩnh vực cần quy định chi tiết về nguyên tắc xác định mức phạt tiền, </w:t>
      </w:r>
      <w:r w:rsidRPr="00515EA9">
        <w:rPr>
          <w:color w:val="auto"/>
          <w:sz w:val="28"/>
          <w:szCs w:val="28"/>
          <w:lang w:val="nl-NL"/>
        </w:rPr>
        <w:t>thời hạn tước quyền sử dụng giấy phép, chứng chỉ hành nghề, thời hạn đình chỉ hoạt động</w:t>
      </w:r>
      <w:r>
        <w:rPr>
          <w:color w:val="auto"/>
          <w:sz w:val="28"/>
          <w:szCs w:val="28"/>
          <w:lang w:val="nl-NL"/>
        </w:rPr>
        <w:t xml:space="preserve"> trong trường hợp có tình tiết tăng nặng, giảm nhẹ; quy định về hành vi vi phạm hành chính nhiều lần là tình tiết tăng nặng; hành vi vi phạm đang thực hiện hoặc đã kết thúc; quy định về lập biên bản vi phạm hành chính điện tử... Những nội dung này cần được đưa vào Nghị định </w:t>
      </w:r>
      <w:r w:rsidR="007C3867">
        <w:rPr>
          <w:color w:val="auto"/>
          <w:sz w:val="28"/>
          <w:szCs w:val="28"/>
          <w:lang w:val="nl-NL"/>
        </w:rPr>
        <w:t xml:space="preserve">số </w:t>
      </w:r>
      <w:r>
        <w:rPr>
          <w:color w:val="auto"/>
          <w:sz w:val="28"/>
          <w:szCs w:val="28"/>
          <w:lang w:val="nl-NL"/>
        </w:rPr>
        <w:t>156</w:t>
      </w:r>
      <w:r w:rsidR="007C3867">
        <w:rPr>
          <w:color w:val="auto"/>
          <w:sz w:val="28"/>
          <w:szCs w:val="28"/>
          <w:lang w:val="nl-NL"/>
        </w:rPr>
        <w:t>/2020/NĐ-CP</w:t>
      </w:r>
      <w:r>
        <w:rPr>
          <w:color w:val="auto"/>
          <w:sz w:val="28"/>
          <w:szCs w:val="28"/>
          <w:lang w:val="nl-NL"/>
        </w:rPr>
        <w:t xml:space="preserve"> để đảm bảo Nghị định </w:t>
      </w:r>
      <w:r w:rsidR="007C3867">
        <w:rPr>
          <w:color w:val="auto"/>
          <w:sz w:val="28"/>
          <w:szCs w:val="28"/>
          <w:lang w:val="nl-NL"/>
        </w:rPr>
        <w:t xml:space="preserve">số </w:t>
      </w:r>
      <w:r>
        <w:rPr>
          <w:color w:val="auto"/>
          <w:sz w:val="28"/>
          <w:szCs w:val="28"/>
          <w:lang w:val="nl-NL"/>
        </w:rPr>
        <w:t>156</w:t>
      </w:r>
      <w:r w:rsidR="007C3867">
        <w:rPr>
          <w:color w:val="auto"/>
          <w:sz w:val="28"/>
          <w:szCs w:val="28"/>
          <w:lang w:val="nl-NL"/>
        </w:rPr>
        <w:t>/2020/NĐ-CP</w:t>
      </w:r>
      <w:r>
        <w:rPr>
          <w:color w:val="auto"/>
          <w:sz w:val="28"/>
          <w:szCs w:val="28"/>
          <w:lang w:val="nl-NL"/>
        </w:rPr>
        <w:t xml:space="preserve"> có hiệu lực thi hành, phù hợp với pháp luật xử lý vi phạm hành chính khi </w:t>
      </w:r>
      <w:r w:rsidR="007C3867">
        <w:rPr>
          <w:color w:val="auto"/>
          <w:sz w:val="28"/>
          <w:szCs w:val="28"/>
          <w:lang w:val="nl-NL"/>
        </w:rPr>
        <w:t xml:space="preserve">Luật sửa đổi bổ sung một số điều của Luật </w:t>
      </w:r>
      <w:r w:rsidR="007C3867" w:rsidRPr="00F85644">
        <w:rPr>
          <w:color w:val="auto"/>
          <w:sz w:val="28"/>
          <w:szCs w:val="28"/>
          <w:lang w:val="nl-NL"/>
        </w:rPr>
        <w:t>Xử lý vi phạm hành chính</w:t>
      </w:r>
      <w:r>
        <w:rPr>
          <w:color w:val="auto"/>
          <w:sz w:val="28"/>
          <w:szCs w:val="28"/>
          <w:lang w:val="nl-NL"/>
        </w:rPr>
        <w:t xml:space="preserve"> và Nghị định hướng dẫn có hiệu lực từ 01/01/2022.</w:t>
      </w:r>
    </w:p>
    <w:p w:rsidR="00EF6E5B" w:rsidRPr="000D140E" w:rsidRDefault="00EB3546" w:rsidP="00502B14">
      <w:pPr>
        <w:spacing w:before="120" w:after="120"/>
        <w:ind w:firstLine="709"/>
        <w:rPr>
          <w:i/>
          <w:color w:val="auto"/>
          <w:sz w:val="28"/>
          <w:szCs w:val="28"/>
          <w:lang w:val="nl-NL"/>
        </w:rPr>
      </w:pPr>
      <w:r>
        <w:rPr>
          <w:i/>
          <w:color w:val="auto"/>
          <w:sz w:val="28"/>
          <w:szCs w:val="28"/>
          <w:lang w:val="nl-NL"/>
        </w:rPr>
        <w:t xml:space="preserve">3.2.2. </w:t>
      </w:r>
      <w:r w:rsidR="00EF6E5B" w:rsidRPr="000D140E">
        <w:rPr>
          <w:i/>
          <w:color w:val="auto"/>
          <w:sz w:val="28"/>
          <w:szCs w:val="28"/>
          <w:lang w:val="nl-NL"/>
        </w:rPr>
        <w:t xml:space="preserve">Nghị định </w:t>
      </w:r>
      <w:r w:rsidR="007C3867">
        <w:rPr>
          <w:i/>
          <w:color w:val="auto"/>
          <w:sz w:val="28"/>
          <w:szCs w:val="28"/>
          <w:lang w:val="nl-NL"/>
        </w:rPr>
        <w:t xml:space="preserve">số </w:t>
      </w:r>
      <w:r w:rsidR="00502B14">
        <w:rPr>
          <w:i/>
          <w:color w:val="auto"/>
          <w:sz w:val="28"/>
          <w:szCs w:val="28"/>
          <w:lang w:val="nl-NL"/>
        </w:rPr>
        <w:t>156</w:t>
      </w:r>
      <w:r w:rsidR="007C3867">
        <w:rPr>
          <w:i/>
          <w:color w:val="auto"/>
          <w:sz w:val="28"/>
          <w:szCs w:val="28"/>
          <w:lang w:val="nl-NL"/>
        </w:rPr>
        <w:t>/2020/NĐ-CP</w:t>
      </w:r>
      <w:r w:rsidR="000D140E">
        <w:rPr>
          <w:i/>
          <w:color w:val="auto"/>
          <w:sz w:val="28"/>
          <w:szCs w:val="28"/>
          <w:lang w:val="nl-NL"/>
        </w:rPr>
        <w:t xml:space="preserve"> </w:t>
      </w:r>
      <w:r w:rsidR="00502B14">
        <w:rPr>
          <w:i/>
          <w:color w:val="auto"/>
          <w:sz w:val="28"/>
          <w:szCs w:val="28"/>
          <w:lang w:val="nl-NL"/>
        </w:rPr>
        <w:t>được xây dựng song song với việc xây dựng</w:t>
      </w:r>
      <w:r w:rsidR="000D140E">
        <w:rPr>
          <w:i/>
          <w:color w:val="auto"/>
          <w:sz w:val="28"/>
          <w:szCs w:val="28"/>
          <w:lang w:val="nl-NL"/>
        </w:rPr>
        <w:t xml:space="preserve"> các văn bản hướng dẫn thi hành</w:t>
      </w:r>
      <w:r w:rsidR="00502B14">
        <w:rPr>
          <w:i/>
          <w:color w:val="auto"/>
          <w:sz w:val="28"/>
          <w:szCs w:val="28"/>
          <w:lang w:val="nl-NL"/>
        </w:rPr>
        <w:t xml:space="preserve"> Luật Chứng khoán 2019 nên có thể</w:t>
      </w:r>
      <w:r w:rsidR="00AE17C6">
        <w:rPr>
          <w:i/>
          <w:color w:val="auto"/>
          <w:sz w:val="28"/>
          <w:szCs w:val="28"/>
          <w:lang w:val="nl-NL"/>
        </w:rPr>
        <w:t xml:space="preserve"> chưa bao quát hết</w:t>
      </w:r>
      <w:r w:rsidR="00AE17C6" w:rsidRPr="00AE17C6">
        <w:rPr>
          <w:i/>
          <w:color w:val="auto"/>
          <w:sz w:val="28"/>
          <w:szCs w:val="28"/>
          <w:lang w:val="nl-NL"/>
        </w:rPr>
        <w:t xml:space="preserve"> các </w:t>
      </w:r>
      <w:r>
        <w:rPr>
          <w:i/>
          <w:color w:val="auto"/>
          <w:sz w:val="28"/>
          <w:szCs w:val="28"/>
          <w:lang w:val="nl-NL"/>
        </w:rPr>
        <w:t>hành vi</w:t>
      </w:r>
      <w:r w:rsidR="003015AA">
        <w:rPr>
          <w:i/>
          <w:color w:val="auto"/>
          <w:sz w:val="28"/>
          <w:szCs w:val="28"/>
          <w:lang w:val="nl-NL"/>
        </w:rPr>
        <w:t xml:space="preserve"> trong lĩnh vực chứng khoán</w:t>
      </w:r>
    </w:p>
    <w:p w:rsidR="00EB3546" w:rsidRDefault="00AE17C6" w:rsidP="00B70572">
      <w:pPr>
        <w:spacing w:before="120" w:after="120"/>
        <w:ind w:firstLine="720"/>
        <w:rPr>
          <w:color w:val="auto"/>
          <w:sz w:val="28"/>
          <w:szCs w:val="28"/>
          <w:lang w:val="nl-NL"/>
        </w:rPr>
      </w:pPr>
      <w:r w:rsidRPr="00AE17C6">
        <w:rPr>
          <w:color w:val="auto"/>
          <w:sz w:val="28"/>
          <w:szCs w:val="28"/>
          <w:lang w:val="nl-NL"/>
        </w:rPr>
        <w:t>Nghị định số 156</w:t>
      </w:r>
      <w:r w:rsidR="007C3867">
        <w:rPr>
          <w:color w:val="auto"/>
          <w:sz w:val="28"/>
          <w:szCs w:val="28"/>
          <w:lang w:val="nl-NL"/>
        </w:rPr>
        <w:t>/2020/NĐ-CP</w:t>
      </w:r>
      <w:r w:rsidRPr="00AE17C6">
        <w:rPr>
          <w:color w:val="auto"/>
          <w:sz w:val="28"/>
          <w:szCs w:val="28"/>
          <w:lang w:val="nl-NL"/>
        </w:rPr>
        <w:t xml:space="preserve"> được xây dựng đồng thời với các văn bản hướng dẫn thi hành Luật Chứng khoán 2019 có thể chưa lường hết các tình huống và hoạt động trong lĩnh vực chứng khoán cần quy định hành vi vi phạm và chế tài xử phạt tương ứng</w:t>
      </w:r>
      <w:r w:rsidR="00EB3546">
        <w:rPr>
          <w:color w:val="auto"/>
          <w:sz w:val="28"/>
          <w:szCs w:val="28"/>
          <w:lang w:val="nl-NL"/>
        </w:rPr>
        <w:t>. Các hành vi vi phạm có thể còn chồng chéo hoặc chưa mô tả hết các tình huống trong các hoạt động chứng khoán mới như hành vi trong hoạt động chào bán, phát hành chứng khoán riêng lẻ. Một số hành vi quy định theo Luật nhưng chưa mô tả chi tiết theo điều khoản hướng dẫn tại Nghị định quy định chi tiết thi hành.</w:t>
      </w:r>
    </w:p>
    <w:p w:rsidR="00363EA7" w:rsidRDefault="00EF6E5B" w:rsidP="00AE17C6">
      <w:pPr>
        <w:spacing w:before="120" w:after="120"/>
        <w:ind w:firstLine="720"/>
        <w:rPr>
          <w:i/>
          <w:color w:val="auto"/>
          <w:sz w:val="28"/>
          <w:szCs w:val="28"/>
          <w:lang w:val="nl-NL"/>
        </w:rPr>
      </w:pPr>
      <w:r w:rsidRPr="005D756C">
        <w:rPr>
          <w:i/>
          <w:color w:val="auto"/>
          <w:sz w:val="28"/>
          <w:szCs w:val="28"/>
          <w:lang w:val="nl-NL"/>
        </w:rPr>
        <w:t>3.2.</w:t>
      </w:r>
      <w:r w:rsidR="00EB3546">
        <w:rPr>
          <w:i/>
          <w:color w:val="auto"/>
          <w:sz w:val="28"/>
          <w:szCs w:val="28"/>
          <w:lang w:val="nl-NL"/>
        </w:rPr>
        <w:t>3</w:t>
      </w:r>
      <w:r w:rsidRPr="005D756C">
        <w:rPr>
          <w:i/>
          <w:color w:val="auto"/>
          <w:sz w:val="28"/>
          <w:szCs w:val="28"/>
          <w:lang w:val="nl-NL"/>
        </w:rPr>
        <w:t xml:space="preserve">. </w:t>
      </w:r>
      <w:r w:rsidR="002813CB">
        <w:rPr>
          <w:i/>
          <w:color w:val="auto"/>
          <w:sz w:val="28"/>
          <w:szCs w:val="28"/>
          <w:lang w:val="nl-NL"/>
        </w:rPr>
        <w:t xml:space="preserve">Thực tiễn xử phạt cho thấy một số hành vi </w:t>
      </w:r>
      <w:r w:rsidR="007C3867">
        <w:rPr>
          <w:i/>
          <w:color w:val="auto"/>
          <w:sz w:val="28"/>
          <w:szCs w:val="28"/>
          <w:lang w:val="nl-NL"/>
        </w:rPr>
        <w:t>quy định chế tài xử phạt chưa cụ thể mà có tính dẫn chiếu dẫn tới có thể gây khó hiểu trong áp dụng</w:t>
      </w:r>
    </w:p>
    <w:p w:rsidR="00AE17C6" w:rsidRDefault="00E52C81" w:rsidP="007C3867">
      <w:pPr>
        <w:spacing w:before="120" w:after="120"/>
        <w:ind w:firstLine="720"/>
        <w:rPr>
          <w:color w:val="auto"/>
          <w:sz w:val="28"/>
          <w:szCs w:val="28"/>
          <w:lang w:val="nl-NL"/>
        </w:rPr>
      </w:pPr>
      <w:r>
        <w:rPr>
          <w:color w:val="auto"/>
          <w:sz w:val="28"/>
          <w:szCs w:val="28"/>
          <w:lang w:val="nl-NL"/>
        </w:rPr>
        <w:t>V</w:t>
      </w:r>
      <w:r w:rsidR="00AE17C6" w:rsidRPr="00AE17C6">
        <w:rPr>
          <w:color w:val="auto"/>
          <w:sz w:val="28"/>
          <w:szCs w:val="28"/>
          <w:lang w:val="nl-NL"/>
        </w:rPr>
        <w:t xml:space="preserve">iệc áp dụng Nghị định </w:t>
      </w:r>
      <w:r w:rsidR="007C3867">
        <w:rPr>
          <w:color w:val="auto"/>
          <w:sz w:val="28"/>
          <w:szCs w:val="28"/>
          <w:lang w:val="nl-NL"/>
        </w:rPr>
        <w:t xml:space="preserve">số </w:t>
      </w:r>
      <w:r w:rsidR="00AE17C6" w:rsidRPr="00AE17C6">
        <w:rPr>
          <w:color w:val="auto"/>
          <w:sz w:val="28"/>
          <w:szCs w:val="28"/>
          <w:lang w:val="nl-NL"/>
        </w:rPr>
        <w:t>156</w:t>
      </w:r>
      <w:r w:rsidR="007C3867">
        <w:rPr>
          <w:color w:val="auto"/>
          <w:sz w:val="28"/>
          <w:szCs w:val="28"/>
          <w:lang w:val="nl-NL"/>
        </w:rPr>
        <w:t>/2020/NĐ-CP</w:t>
      </w:r>
      <w:r w:rsidR="00AE17C6" w:rsidRPr="00AE17C6">
        <w:rPr>
          <w:color w:val="auto"/>
          <w:sz w:val="28"/>
          <w:szCs w:val="28"/>
          <w:lang w:val="nl-NL"/>
        </w:rPr>
        <w:t xml:space="preserve"> để xử phạt vi phạm nghĩa vụ báo cáo khi giao dịch của người nội bộ </w:t>
      </w:r>
      <w:r w:rsidR="007C3867">
        <w:rPr>
          <w:color w:val="auto"/>
          <w:sz w:val="28"/>
          <w:szCs w:val="28"/>
          <w:lang w:val="nl-NL"/>
        </w:rPr>
        <w:t xml:space="preserve">và người có liên quan của người nội bộ cho thấy </w:t>
      </w:r>
      <w:bookmarkStart w:id="0" w:name="_GoBack"/>
      <w:bookmarkEnd w:id="0"/>
      <w:r w:rsidR="007C3867" w:rsidRPr="007C3867">
        <w:rPr>
          <w:color w:val="auto"/>
          <w:sz w:val="28"/>
          <w:szCs w:val="28"/>
          <w:lang w:val="nl-NL"/>
        </w:rPr>
        <w:t>cần được sửa đổi, quy định cụ thể hơn khung phạt, sửa từ ngữ để phù hợp với thực tiễn xử phạt, tạo thuận lợi cho việc áp dụng</w:t>
      </w:r>
      <w:r w:rsidR="00EB3546">
        <w:rPr>
          <w:color w:val="auto"/>
          <w:sz w:val="28"/>
          <w:szCs w:val="28"/>
          <w:lang w:val="nl-NL"/>
        </w:rPr>
        <w:t>.</w:t>
      </w:r>
      <w:r w:rsidR="007C3867">
        <w:rPr>
          <w:color w:val="auto"/>
          <w:sz w:val="28"/>
          <w:szCs w:val="28"/>
          <w:lang w:val="nl-NL"/>
        </w:rPr>
        <w:t xml:space="preserve"> Ví dụ </w:t>
      </w:r>
      <w:r>
        <w:rPr>
          <w:color w:val="auto"/>
          <w:sz w:val="28"/>
          <w:szCs w:val="28"/>
          <w:lang w:val="nl-NL"/>
        </w:rPr>
        <w:t xml:space="preserve">khoản 5, khoản 6 </w:t>
      </w:r>
      <w:r w:rsidR="007C3867">
        <w:rPr>
          <w:color w:val="auto"/>
          <w:sz w:val="28"/>
          <w:szCs w:val="28"/>
          <w:lang w:val="nl-NL"/>
        </w:rPr>
        <w:t xml:space="preserve">Điều 33 Nghị định số 156/2020/NĐ-CP đang quy định </w:t>
      </w:r>
      <w:r>
        <w:rPr>
          <w:color w:val="auto"/>
          <w:sz w:val="28"/>
          <w:szCs w:val="28"/>
          <w:lang w:val="nl-NL"/>
        </w:rPr>
        <w:t xml:space="preserve">mang tính tham chiếu đến các điều khoản khác, có thể gây khó hiểu trong việc áp dụng: </w:t>
      </w:r>
      <w:r w:rsidR="007C3867" w:rsidRPr="00E52C81">
        <w:rPr>
          <w:i/>
          <w:color w:val="auto"/>
          <w:sz w:val="28"/>
          <w:szCs w:val="28"/>
          <w:lang w:val="nl-NL"/>
        </w:rPr>
        <w:t xml:space="preserve">"5. </w:t>
      </w:r>
      <w:r w:rsidR="007C3867" w:rsidRPr="00E52C81">
        <w:rPr>
          <w:i/>
          <w:color w:val="auto"/>
          <w:sz w:val="28"/>
          <w:szCs w:val="28"/>
          <w:lang w:val="nl-NL"/>
        </w:rPr>
        <w:t>Hành vi không công bố thông tin về việc dự kiến giao dịch bị xử phạt theo giá trị chứng khoán giao dịch thực tế với mức phạt tiền gấp hai lần mức tiền phạt quy định tại khoản 2 Điều này.</w:t>
      </w:r>
      <w:r w:rsidRPr="00E52C81">
        <w:rPr>
          <w:i/>
          <w:color w:val="auto"/>
          <w:sz w:val="28"/>
          <w:szCs w:val="28"/>
          <w:lang w:val="nl-NL"/>
        </w:rPr>
        <w:t xml:space="preserve"> </w:t>
      </w:r>
      <w:r w:rsidR="007C3867" w:rsidRPr="00E52C81">
        <w:rPr>
          <w:i/>
          <w:color w:val="auto"/>
          <w:sz w:val="28"/>
          <w:szCs w:val="28"/>
          <w:lang w:val="nl-NL"/>
        </w:rPr>
        <w:t>6. Phạt tiền gấp hai lần mức tiền phạt quy định tại khoản 1, khoản 2 và khoản 4 Điều này đối với hành vi không công bố thông tin về kết quả thực hiện giao dịch; không công bố thông tin khi có thay đổi về tỷ lệ cổ phiếu hoặc chứng chỉ quỹ sở hữu qua các ngưỡ</w:t>
      </w:r>
      <w:r w:rsidRPr="00E52C81">
        <w:rPr>
          <w:i/>
          <w:color w:val="auto"/>
          <w:sz w:val="28"/>
          <w:szCs w:val="28"/>
          <w:lang w:val="nl-NL"/>
        </w:rPr>
        <w:t>ng 1%...</w:t>
      </w:r>
      <w:r w:rsidR="007C3867" w:rsidRPr="00E52C81">
        <w:rPr>
          <w:i/>
          <w:color w:val="auto"/>
          <w:sz w:val="28"/>
          <w:szCs w:val="28"/>
          <w:lang w:val="nl-NL"/>
        </w:rPr>
        <w:t>"</w:t>
      </w:r>
      <w:r>
        <w:rPr>
          <w:i/>
          <w:color w:val="auto"/>
          <w:sz w:val="28"/>
          <w:szCs w:val="28"/>
          <w:lang w:val="nl-NL"/>
        </w:rPr>
        <w:t>.</w:t>
      </w:r>
    </w:p>
    <w:p w:rsidR="00EB3546" w:rsidRDefault="002813CB" w:rsidP="0052556D">
      <w:pPr>
        <w:spacing w:before="120" w:after="120"/>
        <w:ind w:firstLine="720"/>
        <w:rPr>
          <w:i/>
          <w:color w:val="auto"/>
          <w:sz w:val="28"/>
          <w:szCs w:val="28"/>
          <w:lang w:val="nl-NL"/>
        </w:rPr>
      </w:pPr>
      <w:r>
        <w:rPr>
          <w:i/>
          <w:color w:val="auto"/>
          <w:sz w:val="28"/>
          <w:szCs w:val="28"/>
          <w:lang w:val="nl-NL"/>
        </w:rPr>
        <w:t>3.2.</w:t>
      </w:r>
      <w:r w:rsidR="00EB3546">
        <w:rPr>
          <w:i/>
          <w:color w:val="auto"/>
          <w:sz w:val="28"/>
          <w:szCs w:val="28"/>
          <w:lang w:val="nl-NL"/>
        </w:rPr>
        <w:t>4</w:t>
      </w:r>
      <w:r>
        <w:rPr>
          <w:i/>
          <w:color w:val="auto"/>
          <w:sz w:val="28"/>
          <w:szCs w:val="28"/>
          <w:lang w:val="nl-NL"/>
        </w:rPr>
        <w:t xml:space="preserve">. </w:t>
      </w:r>
      <w:r w:rsidR="00EB3546">
        <w:rPr>
          <w:i/>
          <w:color w:val="auto"/>
          <w:sz w:val="28"/>
          <w:szCs w:val="28"/>
          <w:lang w:val="nl-NL"/>
        </w:rPr>
        <w:t>Một số hành vi quy định xử phạt vi phạm hành chính nhưng có sự trùng lắp do các hành vi này đã bị quy định hình thức xử lý nặng tại Nghị định hướng dẫn Luật</w:t>
      </w:r>
      <w:r w:rsidR="00E52C81">
        <w:rPr>
          <w:i/>
          <w:color w:val="auto"/>
          <w:sz w:val="28"/>
          <w:szCs w:val="28"/>
          <w:lang w:val="nl-NL"/>
        </w:rPr>
        <w:t xml:space="preserve"> Chứng khoán 2019</w:t>
      </w:r>
    </w:p>
    <w:p w:rsidR="00EB3546" w:rsidRDefault="00EB3546" w:rsidP="00EB3546">
      <w:pPr>
        <w:spacing w:before="120" w:after="120"/>
        <w:ind w:firstLine="720"/>
        <w:rPr>
          <w:color w:val="auto"/>
          <w:sz w:val="28"/>
          <w:szCs w:val="28"/>
          <w:lang w:val="nl-NL"/>
        </w:rPr>
      </w:pPr>
      <w:r>
        <w:rPr>
          <w:color w:val="auto"/>
          <w:sz w:val="28"/>
          <w:szCs w:val="28"/>
          <w:lang w:val="nl-NL"/>
        </w:rPr>
        <w:t>M</w:t>
      </w:r>
      <w:r w:rsidRPr="00AE17C6">
        <w:rPr>
          <w:color w:val="auto"/>
          <w:sz w:val="28"/>
          <w:szCs w:val="28"/>
          <w:lang w:val="nl-NL"/>
        </w:rPr>
        <w:t xml:space="preserve">ột số hành vi của người hành nghề, tổ chức kinh doanh chứng khoán được quy định biện pháp xử lý hành chính tại pháp luật chứng khoán như rút giấy phép, chứng chỉ </w:t>
      </w:r>
      <w:r w:rsidR="00E52C81">
        <w:rPr>
          <w:color w:val="auto"/>
          <w:sz w:val="28"/>
          <w:szCs w:val="28"/>
          <w:lang w:val="nl-NL"/>
        </w:rPr>
        <w:t xml:space="preserve">hành nghề </w:t>
      </w:r>
      <w:r w:rsidRPr="00AE17C6">
        <w:rPr>
          <w:color w:val="auto"/>
          <w:sz w:val="28"/>
          <w:szCs w:val="28"/>
          <w:lang w:val="nl-NL"/>
        </w:rPr>
        <w:t xml:space="preserve">cũng đồng thời </w:t>
      </w:r>
      <w:r w:rsidR="00E52C81">
        <w:rPr>
          <w:color w:val="auto"/>
          <w:sz w:val="28"/>
          <w:szCs w:val="28"/>
          <w:lang w:val="nl-NL"/>
        </w:rPr>
        <w:t xml:space="preserve">quy định </w:t>
      </w:r>
      <w:r w:rsidRPr="00AE17C6">
        <w:rPr>
          <w:color w:val="auto"/>
          <w:sz w:val="28"/>
          <w:szCs w:val="28"/>
          <w:lang w:val="nl-NL"/>
        </w:rPr>
        <w:t xml:space="preserve">xử phạt </w:t>
      </w:r>
      <w:r w:rsidR="00E52C81">
        <w:rPr>
          <w:color w:val="auto"/>
          <w:sz w:val="28"/>
          <w:szCs w:val="28"/>
          <w:lang w:val="nl-NL"/>
        </w:rPr>
        <w:t xml:space="preserve">hành chính với biện pháp tước quyền sử dụng giấy phép/chứng chỉ </w:t>
      </w:r>
      <w:r w:rsidRPr="00AE17C6">
        <w:rPr>
          <w:color w:val="auto"/>
          <w:sz w:val="28"/>
          <w:szCs w:val="28"/>
          <w:lang w:val="nl-NL"/>
        </w:rPr>
        <w:t xml:space="preserve">tại Nghị định </w:t>
      </w:r>
      <w:r w:rsidR="00E52C81">
        <w:rPr>
          <w:color w:val="auto"/>
          <w:sz w:val="28"/>
          <w:szCs w:val="28"/>
          <w:lang w:val="nl-NL"/>
        </w:rPr>
        <w:t xml:space="preserve">số </w:t>
      </w:r>
      <w:r w:rsidRPr="00AE17C6">
        <w:rPr>
          <w:color w:val="auto"/>
          <w:sz w:val="28"/>
          <w:szCs w:val="28"/>
          <w:lang w:val="nl-NL"/>
        </w:rPr>
        <w:t>156</w:t>
      </w:r>
      <w:r w:rsidR="00E52C81">
        <w:rPr>
          <w:color w:val="auto"/>
          <w:sz w:val="28"/>
          <w:szCs w:val="28"/>
          <w:lang w:val="nl-NL"/>
        </w:rPr>
        <w:t>/2020/NĐ-CP</w:t>
      </w:r>
      <w:r w:rsidRPr="00AE17C6">
        <w:rPr>
          <w:color w:val="auto"/>
          <w:sz w:val="28"/>
          <w:szCs w:val="28"/>
          <w:lang w:val="nl-NL"/>
        </w:rPr>
        <w:t xml:space="preserve"> tạo sự trùng lắp</w:t>
      </w:r>
      <w:r>
        <w:rPr>
          <w:color w:val="auto"/>
          <w:sz w:val="28"/>
          <w:szCs w:val="28"/>
          <w:lang w:val="nl-NL"/>
        </w:rPr>
        <w:t xml:space="preserve"> không cần thiết do </w:t>
      </w:r>
      <w:r w:rsidR="00E52C81">
        <w:rPr>
          <w:color w:val="auto"/>
          <w:sz w:val="28"/>
          <w:szCs w:val="28"/>
          <w:lang w:val="nl-NL"/>
        </w:rPr>
        <w:t>đã bị</w:t>
      </w:r>
      <w:r>
        <w:rPr>
          <w:color w:val="auto"/>
          <w:sz w:val="28"/>
          <w:szCs w:val="28"/>
          <w:lang w:val="nl-NL"/>
        </w:rPr>
        <w:t xml:space="preserve"> rút giấy phép, thu hồi chứng chỉ hành nghề.</w:t>
      </w:r>
      <w:r w:rsidRPr="00AE17C6">
        <w:rPr>
          <w:color w:val="auto"/>
          <w:sz w:val="28"/>
          <w:szCs w:val="28"/>
          <w:lang w:val="nl-NL"/>
        </w:rPr>
        <w:t xml:space="preserve"> </w:t>
      </w:r>
    </w:p>
    <w:p w:rsidR="00EF6E5B" w:rsidRPr="00BF2A03" w:rsidRDefault="00EF6E5B" w:rsidP="0052556D">
      <w:pPr>
        <w:spacing w:before="120" w:after="120"/>
        <w:ind w:firstLine="720"/>
        <w:rPr>
          <w:b/>
          <w:color w:val="auto"/>
          <w:sz w:val="28"/>
          <w:szCs w:val="28"/>
          <w:lang w:val="pt-BR"/>
        </w:rPr>
      </w:pPr>
      <w:r w:rsidRPr="00BF2A03">
        <w:rPr>
          <w:b/>
          <w:color w:val="auto"/>
          <w:sz w:val="28"/>
          <w:szCs w:val="28"/>
          <w:lang w:val="pt-BR"/>
        </w:rPr>
        <w:t>4. Đề xuất</w:t>
      </w:r>
    </w:p>
    <w:p w:rsidR="00EF6E5B" w:rsidRPr="00BF2A03" w:rsidRDefault="00EF6E5B" w:rsidP="00EF6E5B">
      <w:pPr>
        <w:spacing w:before="120" w:after="120"/>
        <w:ind w:firstLine="720"/>
        <w:rPr>
          <w:color w:val="auto"/>
          <w:sz w:val="28"/>
          <w:szCs w:val="28"/>
          <w:lang w:val="pt-BR"/>
        </w:rPr>
      </w:pPr>
      <w:r w:rsidRPr="00BF2A03">
        <w:rPr>
          <w:color w:val="auto"/>
          <w:sz w:val="28"/>
          <w:szCs w:val="28"/>
          <w:lang w:val="pt-BR"/>
        </w:rPr>
        <w:t>Xuất phát từ cơ sở pháp lý và thực tiễn nêu trên, việc xem xét ban hành</w:t>
      </w:r>
      <w:r w:rsidRPr="00BF2A03">
        <w:rPr>
          <w:b/>
          <w:color w:val="auto"/>
          <w:sz w:val="28"/>
          <w:szCs w:val="28"/>
          <w:lang w:val="pt-BR"/>
        </w:rPr>
        <w:t xml:space="preserve"> </w:t>
      </w:r>
      <w:r w:rsidRPr="00BF2A03">
        <w:rPr>
          <w:color w:val="auto"/>
          <w:sz w:val="28"/>
          <w:szCs w:val="28"/>
          <w:lang w:val="pt-BR"/>
        </w:rPr>
        <w:t xml:space="preserve">Nghị định </w:t>
      </w:r>
      <w:r w:rsidR="00515EA9">
        <w:rPr>
          <w:color w:val="auto"/>
          <w:sz w:val="28"/>
          <w:szCs w:val="28"/>
          <w:lang w:val="pt-BR"/>
        </w:rPr>
        <w:t xml:space="preserve">sửa đổi, bổ sung một số điều của Nghị định 156 là </w:t>
      </w:r>
      <w:r w:rsidRPr="00BF2A03">
        <w:rPr>
          <w:color w:val="auto"/>
          <w:sz w:val="28"/>
          <w:szCs w:val="28"/>
          <w:lang w:val="pt-BR"/>
        </w:rPr>
        <w:t xml:space="preserve">thực sự cần thiết. Nghị định </w:t>
      </w:r>
      <w:r w:rsidR="003015AA">
        <w:rPr>
          <w:color w:val="auto"/>
          <w:sz w:val="28"/>
          <w:szCs w:val="28"/>
          <w:lang w:val="pt-BR"/>
        </w:rPr>
        <w:t>sửa đổi</w:t>
      </w:r>
      <w:r w:rsidRPr="00BF2A03">
        <w:rPr>
          <w:color w:val="auto"/>
          <w:sz w:val="28"/>
          <w:szCs w:val="28"/>
          <w:lang w:val="pt-BR"/>
        </w:rPr>
        <w:t xml:space="preserve"> phải đảm bảo phù hợp, thống nhất với pháp luật xử lý vi phạm hành chính, </w:t>
      </w:r>
      <w:r w:rsidR="003015AA">
        <w:rPr>
          <w:color w:val="auto"/>
          <w:sz w:val="28"/>
          <w:szCs w:val="28"/>
          <w:lang w:val="pt-BR"/>
        </w:rPr>
        <w:t>sửa đổi hành vi và</w:t>
      </w:r>
      <w:r w:rsidRPr="00BF2A03">
        <w:rPr>
          <w:color w:val="auto"/>
          <w:sz w:val="28"/>
          <w:szCs w:val="28"/>
          <w:lang w:val="pt-BR"/>
        </w:rPr>
        <w:t xml:space="preserve"> chế tài xử phạt </w:t>
      </w:r>
      <w:r w:rsidR="003015AA">
        <w:rPr>
          <w:color w:val="auto"/>
          <w:sz w:val="28"/>
          <w:szCs w:val="28"/>
          <w:lang w:val="pt-BR"/>
        </w:rPr>
        <w:t xml:space="preserve">bao quát pháp luật chứng khoán mớit </w:t>
      </w:r>
      <w:r w:rsidRPr="00BF2A03">
        <w:rPr>
          <w:color w:val="auto"/>
          <w:sz w:val="28"/>
          <w:szCs w:val="28"/>
          <w:lang w:val="pt-BR"/>
        </w:rPr>
        <w:t xml:space="preserve">để đảm bảo </w:t>
      </w:r>
      <w:r w:rsidR="003015AA">
        <w:rPr>
          <w:color w:val="auto"/>
          <w:sz w:val="28"/>
          <w:szCs w:val="28"/>
          <w:lang w:val="pt-BR"/>
        </w:rPr>
        <w:t>hiệu lực thi hành của quy định xử phạt vi phạm hành chính</w:t>
      </w:r>
      <w:r w:rsidRPr="00BF2A03">
        <w:rPr>
          <w:color w:val="auto"/>
          <w:sz w:val="28"/>
          <w:szCs w:val="28"/>
          <w:lang w:val="pt-BR"/>
        </w:rPr>
        <w:t xml:space="preserve"> trong lĩnh vực chứng khoán</w:t>
      </w:r>
      <w:r w:rsidR="003015AA">
        <w:rPr>
          <w:color w:val="auto"/>
          <w:sz w:val="28"/>
          <w:szCs w:val="28"/>
          <w:lang w:val="pt-BR"/>
        </w:rPr>
        <w:t xml:space="preserve"> và hiệu quả thực thi pháp luật chứng khoán mới</w:t>
      </w:r>
      <w:r w:rsidRPr="00BF2A03">
        <w:rPr>
          <w:color w:val="auto"/>
          <w:sz w:val="28"/>
          <w:szCs w:val="28"/>
          <w:lang w:val="pt-BR"/>
        </w:rPr>
        <w:t xml:space="preserve">; sửa đổi khung phạt theo hướng </w:t>
      </w:r>
      <w:r w:rsidR="003015AA">
        <w:rPr>
          <w:color w:val="auto"/>
          <w:sz w:val="28"/>
          <w:szCs w:val="28"/>
          <w:lang w:val="pt-BR"/>
        </w:rPr>
        <w:t>có sự phân biệt giữa các hành vi có mức độ vi phạm khác nhau trong tình hình TTCK phát triển mạnh</w:t>
      </w:r>
      <w:r w:rsidRPr="00BF2A03">
        <w:rPr>
          <w:color w:val="auto"/>
          <w:sz w:val="28"/>
          <w:szCs w:val="28"/>
          <w:lang w:val="pt-BR"/>
        </w:rPr>
        <w:t xml:space="preserve">. </w:t>
      </w:r>
    </w:p>
    <w:p w:rsidR="00617487" w:rsidRPr="00752464" w:rsidRDefault="00EF6E5B" w:rsidP="0056546C">
      <w:pPr>
        <w:spacing w:before="120" w:after="120"/>
        <w:ind w:firstLine="720"/>
        <w:rPr>
          <w:color w:val="auto"/>
          <w:sz w:val="28"/>
          <w:szCs w:val="28"/>
          <w:lang w:val="nl-NL"/>
        </w:rPr>
      </w:pPr>
      <w:r w:rsidRPr="00BF2A03">
        <w:rPr>
          <w:color w:val="auto"/>
          <w:sz w:val="28"/>
          <w:szCs w:val="28"/>
          <w:lang w:val="nl-NL"/>
        </w:rPr>
        <w:t xml:space="preserve">Trên cơ sở tổng kết, </w:t>
      </w:r>
      <w:r w:rsidRPr="00BF2A03">
        <w:rPr>
          <w:color w:val="auto"/>
          <w:sz w:val="28"/>
          <w:szCs w:val="28"/>
          <w:lang w:val="pt-BR"/>
        </w:rPr>
        <w:t xml:space="preserve">đánh giá tình hình thi hành Nghị định số </w:t>
      </w:r>
      <w:r w:rsidR="003015AA">
        <w:rPr>
          <w:color w:val="auto"/>
          <w:sz w:val="28"/>
          <w:szCs w:val="28"/>
          <w:lang w:val="pt-BR"/>
        </w:rPr>
        <w:t>156 và căn cứ dự kiến quy định chi tiết hướng dẫn Luật Xử lý vi phạm hành chính (sửa đổi)</w:t>
      </w:r>
      <w:r w:rsidRPr="00BF2A03">
        <w:rPr>
          <w:color w:val="auto"/>
          <w:sz w:val="28"/>
          <w:szCs w:val="28"/>
          <w:lang w:val="nl-NL"/>
        </w:rPr>
        <w:t xml:space="preserve">, Bộ Tài chính đã xây dựng </w:t>
      </w:r>
      <w:r w:rsidRPr="00BF2A03">
        <w:rPr>
          <w:color w:val="auto"/>
          <w:sz w:val="28"/>
          <w:szCs w:val="28"/>
          <w:lang w:val="pt-BR"/>
        </w:rPr>
        <w:t xml:space="preserve">Nghị định </w:t>
      </w:r>
      <w:r w:rsidR="003015AA">
        <w:rPr>
          <w:color w:val="auto"/>
          <w:sz w:val="28"/>
          <w:szCs w:val="28"/>
          <w:lang w:val="pt-BR"/>
        </w:rPr>
        <w:t>sửa đổi Nghị định 156,</w:t>
      </w:r>
      <w:r w:rsidRPr="00BF2A03">
        <w:rPr>
          <w:color w:val="auto"/>
          <w:sz w:val="28"/>
          <w:szCs w:val="28"/>
          <w:lang w:val="nl-NL"/>
        </w:rPr>
        <w:t xml:space="preserve"> lấy ý kiến rộng rãi của các Bộ, ngành và các đối tượng chịu sự tác động</w:t>
      </w:r>
      <w:r w:rsidR="003015AA">
        <w:rPr>
          <w:color w:val="auto"/>
          <w:sz w:val="28"/>
          <w:szCs w:val="28"/>
          <w:lang w:val="nl-NL"/>
        </w:rPr>
        <w:t xml:space="preserve"> </w:t>
      </w:r>
      <w:r w:rsidRPr="00BF2A03">
        <w:rPr>
          <w:color w:val="auto"/>
          <w:sz w:val="28"/>
          <w:szCs w:val="28"/>
          <w:lang w:val="nl-NL"/>
        </w:rPr>
        <w:t>để đảm bảo tính thực thi của Nghị định khi được ban hành</w:t>
      </w:r>
      <w:r w:rsidR="00617487" w:rsidRPr="00BF2A03">
        <w:rPr>
          <w:color w:val="auto"/>
          <w:sz w:val="28"/>
          <w:szCs w:val="28"/>
          <w:lang w:val="nl-NL"/>
        </w:rPr>
        <w:t>.</w:t>
      </w:r>
      <w:r w:rsidR="00E83813" w:rsidRPr="00BF2A03">
        <w:rPr>
          <w:color w:val="auto"/>
          <w:sz w:val="28"/>
          <w:szCs w:val="28"/>
          <w:lang w:val="nl-NL"/>
        </w:rPr>
        <w:t>/.</w:t>
      </w:r>
    </w:p>
    <w:p w:rsidR="00747B9A" w:rsidRPr="00752464" w:rsidRDefault="0096115C" w:rsidP="0052556D">
      <w:pPr>
        <w:spacing w:before="120" w:after="120"/>
        <w:ind w:left="5760" w:firstLine="720"/>
        <w:jc w:val="right"/>
        <w:rPr>
          <w:lang w:val="vi-VN"/>
        </w:rPr>
      </w:pPr>
      <w:r w:rsidRPr="00752464">
        <w:rPr>
          <w:color w:val="auto"/>
          <w:sz w:val="28"/>
          <w:szCs w:val="28"/>
          <w:lang w:val="nl-NL"/>
        </w:rPr>
        <w:t>(Bộ Tài chính)</w:t>
      </w:r>
    </w:p>
    <w:sectPr w:rsidR="00747B9A" w:rsidRPr="00752464" w:rsidSect="001F0EB2">
      <w:headerReference w:type="default" r:id="rId8"/>
      <w:footerReference w:type="default" r:id="rId9"/>
      <w:pgSz w:w="11907" w:h="16840" w:code="9"/>
      <w:pgMar w:top="1418" w:right="1134"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15" w:rsidRDefault="00F62915" w:rsidP="00DE6F17">
      <w:r>
        <w:separator/>
      </w:r>
    </w:p>
  </w:endnote>
  <w:endnote w:type="continuationSeparator" w:id="0">
    <w:p w:rsidR="00F62915" w:rsidRDefault="00F62915" w:rsidP="00DE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1C0" w:rsidRDefault="009F51C0">
    <w:pPr>
      <w:pStyle w:val="Footer"/>
      <w:jc w:val="right"/>
    </w:pPr>
  </w:p>
  <w:p w:rsidR="009F51C0" w:rsidRDefault="009F51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15" w:rsidRDefault="00F62915" w:rsidP="00DE6F17">
      <w:r>
        <w:separator/>
      </w:r>
    </w:p>
  </w:footnote>
  <w:footnote w:type="continuationSeparator" w:id="0">
    <w:p w:rsidR="00F62915" w:rsidRDefault="00F62915" w:rsidP="00DE6F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815524011"/>
      <w:docPartObj>
        <w:docPartGallery w:val="Page Numbers (Top of Page)"/>
        <w:docPartUnique/>
      </w:docPartObj>
    </w:sdtPr>
    <w:sdtEndPr>
      <w:rPr>
        <w:noProof/>
      </w:rPr>
    </w:sdtEndPr>
    <w:sdtContent>
      <w:p w:rsidR="001F0EB2" w:rsidRDefault="007B3E6F">
        <w:pPr>
          <w:pStyle w:val="Header"/>
          <w:jc w:val="center"/>
        </w:pPr>
        <w:r>
          <w:rPr>
            <w:noProof w:val="0"/>
          </w:rPr>
          <w:fldChar w:fldCharType="begin"/>
        </w:r>
        <w:r w:rsidR="001F0EB2">
          <w:instrText xml:space="preserve"> PAGE   \* MERGEFORMAT </w:instrText>
        </w:r>
        <w:r>
          <w:rPr>
            <w:noProof w:val="0"/>
          </w:rPr>
          <w:fldChar w:fldCharType="separate"/>
        </w:r>
        <w:r w:rsidR="00E52C81">
          <w:t>4</w:t>
        </w:r>
        <w:r>
          <w:fldChar w:fldCharType="end"/>
        </w:r>
      </w:p>
    </w:sdtContent>
  </w:sdt>
  <w:p w:rsidR="0040044C" w:rsidRDefault="004004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1" w15:restartNumberingAfterBreak="0">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6" w15:restartNumberingAfterBreak="0">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6"/>
  </w:num>
  <w:num w:numId="2">
    <w:abstractNumId w:val="4"/>
  </w:num>
  <w:num w:numId="3">
    <w:abstractNumId w:val="8"/>
  </w:num>
  <w:num w:numId="4">
    <w:abstractNumId w:val="0"/>
  </w:num>
  <w:num w:numId="5">
    <w:abstractNumId w:val="12"/>
  </w:num>
  <w:num w:numId="6">
    <w:abstractNumId w:val="16"/>
  </w:num>
  <w:num w:numId="7">
    <w:abstractNumId w:val="15"/>
  </w:num>
  <w:num w:numId="8">
    <w:abstractNumId w:val="5"/>
  </w:num>
  <w:num w:numId="9">
    <w:abstractNumId w:val="14"/>
  </w:num>
  <w:num w:numId="10">
    <w:abstractNumId w:val="9"/>
  </w:num>
  <w:num w:numId="11">
    <w:abstractNumId w:val="1"/>
  </w:num>
  <w:num w:numId="12">
    <w:abstractNumId w:val="3"/>
  </w:num>
  <w:num w:numId="13">
    <w:abstractNumId w:val="13"/>
  </w:num>
  <w:num w:numId="14">
    <w:abstractNumId w:val="18"/>
  </w:num>
  <w:num w:numId="15">
    <w:abstractNumId w:val="10"/>
  </w:num>
  <w:num w:numId="16">
    <w:abstractNumId w:val="11"/>
  </w:num>
  <w:num w:numId="17">
    <w:abstractNumId w:val="2"/>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22"/>
    <w:rsid w:val="00010AC2"/>
    <w:rsid w:val="000130B4"/>
    <w:rsid w:val="00013426"/>
    <w:rsid w:val="0001403C"/>
    <w:rsid w:val="00023698"/>
    <w:rsid w:val="00024C27"/>
    <w:rsid w:val="00033B62"/>
    <w:rsid w:val="000349C3"/>
    <w:rsid w:val="0003660A"/>
    <w:rsid w:val="000537D5"/>
    <w:rsid w:val="000601AA"/>
    <w:rsid w:val="00062ABF"/>
    <w:rsid w:val="00064F19"/>
    <w:rsid w:val="000733B2"/>
    <w:rsid w:val="00075730"/>
    <w:rsid w:val="00081660"/>
    <w:rsid w:val="00092280"/>
    <w:rsid w:val="000A0213"/>
    <w:rsid w:val="000B6C5B"/>
    <w:rsid w:val="000C0630"/>
    <w:rsid w:val="000C2A26"/>
    <w:rsid w:val="000D140E"/>
    <w:rsid w:val="000F2163"/>
    <w:rsid w:val="000F2C1B"/>
    <w:rsid w:val="000F7437"/>
    <w:rsid w:val="001048BC"/>
    <w:rsid w:val="0010678C"/>
    <w:rsid w:val="0011147B"/>
    <w:rsid w:val="00115D1D"/>
    <w:rsid w:val="001236A0"/>
    <w:rsid w:val="00133C54"/>
    <w:rsid w:val="0014360F"/>
    <w:rsid w:val="0014460F"/>
    <w:rsid w:val="00146F35"/>
    <w:rsid w:val="00151ADE"/>
    <w:rsid w:val="001538D2"/>
    <w:rsid w:val="00156426"/>
    <w:rsid w:val="00156B27"/>
    <w:rsid w:val="00160CD4"/>
    <w:rsid w:val="00172330"/>
    <w:rsid w:val="0017655D"/>
    <w:rsid w:val="00193790"/>
    <w:rsid w:val="001A0301"/>
    <w:rsid w:val="001A35DB"/>
    <w:rsid w:val="001A622F"/>
    <w:rsid w:val="001B07E6"/>
    <w:rsid w:val="001B0E38"/>
    <w:rsid w:val="001C0355"/>
    <w:rsid w:val="001C15ED"/>
    <w:rsid w:val="001D0840"/>
    <w:rsid w:val="001D6398"/>
    <w:rsid w:val="001E2551"/>
    <w:rsid w:val="001E41B7"/>
    <w:rsid w:val="001F0EB2"/>
    <w:rsid w:val="001F4CB8"/>
    <w:rsid w:val="001F587C"/>
    <w:rsid w:val="001F6CBE"/>
    <w:rsid w:val="00203405"/>
    <w:rsid w:val="002201C7"/>
    <w:rsid w:val="00221358"/>
    <w:rsid w:val="00225673"/>
    <w:rsid w:val="00225682"/>
    <w:rsid w:val="00225822"/>
    <w:rsid w:val="002319B9"/>
    <w:rsid w:val="0023484A"/>
    <w:rsid w:val="002400C5"/>
    <w:rsid w:val="00240329"/>
    <w:rsid w:val="002449E1"/>
    <w:rsid w:val="0024551B"/>
    <w:rsid w:val="00266B0E"/>
    <w:rsid w:val="00271BD9"/>
    <w:rsid w:val="002813CB"/>
    <w:rsid w:val="00282D14"/>
    <w:rsid w:val="00286307"/>
    <w:rsid w:val="0029256E"/>
    <w:rsid w:val="00296DD6"/>
    <w:rsid w:val="002A2AE0"/>
    <w:rsid w:val="002A5125"/>
    <w:rsid w:val="002B44D4"/>
    <w:rsid w:val="002C12AA"/>
    <w:rsid w:val="002C6EE8"/>
    <w:rsid w:val="002D5550"/>
    <w:rsid w:val="002D5C06"/>
    <w:rsid w:val="002D6400"/>
    <w:rsid w:val="002E78DF"/>
    <w:rsid w:val="002F224F"/>
    <w:rsid w:val="002F49FA"/>
    <w:rsid w:val="003014D3"/>
    <w:rsid w:val="003015AA"/>
    <w:rsid w:val="00302055"/>
    <w:rsid w:val="00306D24"/>
    <w:rsid w:val="00310A1E"/>
    <w:rsid w:val="0031330A"/>
    <w:rsid w:val="00315757"/>
    <w:rsid w:val="00321F58"/>
    <w:rsid w:val="00323989"/>
    <w:rsid w:val="00323A4D"/>
    <w:rsid w:val="0032587D"/>
    <w:rsid w:val="00331670"/>
    <w:rsid w:val="00340AA5"/>
    <w:rsid w:val="00340B20"/>
    <w:rsid w:val="00343E60"/>
    <w:rsid w:val="003449AA"/>
    <w:rsid w:val="00350015"/>
    <w:rsid w:val="00363831"/>
    <w:rsid w:val="00363EA7"/>
    <w:rsid w:val="0037117C"/>
    <w:rsid w:val="0037457B"/>
    <w:rsid w:val="003771F7"/>
    <w:rsid w:val="00381208"/>
    <w:rsid w:val="00392175"/>
    <w:rsid w:val="00393741"/>
    <w:rsid w:val="00393D3D"/>
    <w:rsid w:val="00397B9D"/>
    <w:rsid w:val="003A7F67"/>
    <w:rsid w:val="003B271E"/>
    <w:rsid w:val="003C159E"/>
    <w:rsid w:val="003C2B70"/>
    <w:rsid w:val="003D05BC"/>
    <w:rsid w:val="003D66E8"/>
    <w:rsid w:val="003E036D"/>
    <w:rsid w:val="0040044C"/>
    <w:rsid w:val="0040393C"/>
    <w:rsid w:val="004135F3"/>
    <w:rsid w:val="00415127"/>
    <w:rsid w:val="004210B1"/>
    <w:rsid w:val="00463D65"/>
    <w:rsid w:val="00465A3F"/>
    <w:rsid w:val="00465C38"/>
    <w:rsid w:val="00472E83"/>
    <w:rsid w:val="00475689"/>
    <w:rsid w:val="0047588F"/>
    <w:rsid w:val="00476F8B"/>
    <w:rsid w:val="004770BF"/>
    <w:rsid w:val="00482D89"/>
    <w:rsid w:val="0049141F"/>
    <w:rsid w:val="004914B4"/>
    <w:rsid w:val="004926E0"/>
    <w:rsid w:val="004959B8"/>
    <w:rsid w:val="00497EB4"/>
    <w:rsid w:val="004A0094"/>
    <w:rsid w:val="004A4790"/>
    <w:rsid w:val="004A6795"/>
    <w:rsid w:val="004A7077"/>
    <w:rsid w:val="004B2EA1"/>
    <w:rsid w:val="004B63D3"/>
    <w:rsid w:val="004C101B"/>
    <w:rsid w:val="004C70E3"/>
    <w:rsid w:val="004D3A80"/>
    <w:rsid w:val="004D7C17"/>
    <w:rsid w:val="004E47D2"/>
    <w:rsid w:val="004E593D"/>
    <w:rsid w:val="004E62C6"/>
    <w:rsid w:val="004F3D14"/>
    <w:rsid w:val="004F5694"/>
    <w:rsid w:val="004F5CFC"/>
    <w:rsid w:val="00502338"/>
    <w:rsid w:val="00502B14"/>
    <w:rsid w:val="00503C37"/>
    <w:rsid w:val="00506C8A"/>
    <w:rsid w:val="005073D5"/>
    <w:rsid w:val="00515EA9"/>
    <w:rsid w:val="00516037"/>
    <w:rsid w:val="00521E93"/>
    <w:rsid w:val="00524CA7"/>
    <w:rsid w:val="0052556D"/>
    <w:rsid w:val="005306D8"/>
    <w:rsid w:val="00553625"/>
    <w:rsid w:val="00564E64"/>
    <w:rsid w:val="0056546C"/>
    <w:rsid w:val="005808FE"/>
    <w:rsid w:val="0058455E"/>
    <w:rsid w:val="00586B4F"/>
    <w:rsid w:val="005922FD"/>
    <w:rsid w:val="005A0568"/>
    <w:rsid w:val="005A3A20"/>
    <w:rsid w:val="005A5B2F"/>
    <w:rsid w:val="005A6D70"/>
    <w:rsid w:val="005B1126"/>
    <w:rsid w:val="005B7B4F"/>
    <w:rsid w:val="005C54E3"/>
    <w:rsid w:val="005D1CA3"/>
    <w:rsid w:val="005D3BC9"/>
    <w:rsid w:val="005D756C"/>
    <w:rsid w:val="005E4AC1"/>
    <w:rsid w:val="005E667C"/>
    <w:rsid w:val="005E675B"/>
    <w:rsid w:val="005F44C3"/>
    <w:rsid w:val="005F5BEA"/>
    <w:rsid w:val="006106EC"/>
    <w:rsid w:val="0061415D"/>
    <w:rsid w:val="00617487"/>
    <w:rsid w:val="00617956"/>
    <w:rsid w:val="006207BD"/>
    <w:rsid w:val="0064046E"/>
    <w:rsid w:val="00642608"/>
    <w:rsid w:val="006426F4"/>
    <w:rsid w:val="00643077"/>
    <w:rsid w:val="00654F46"/>
    <w:rsid w:val="00663D9A"/>
    <w:rsid w:val="00665F97"/>
    <w:rsid w:val="00671A4E"/>
    <w:rsid w:val="00682976"/>
    <w:rsid w:val="006A5518"/>
    <w:rsid w:val="006B0D6B"/>
    <w:rsid w:val="006B191E"/>
    <w:rsid w:val="006B2BEC"/>
    <w:rsid w:val="006B6F74"/>
    <w:rsid w:val="006C5131"/>
    <w:rsid w:val="006C7E5C"/>
    <w:rsid w:val="006D1677"/>
    <w:rsid w:val="006D555B"/>
    <w:rsid w:val="006F73AF"/>
    <w:rsid w:val="006F7CC7"/>
    <w:rsid w:val="007057DC"/>
    <w:rsid w:val="00705CBB"/>
    <w:rsid w:val="00715381"/>
    <w:rsid w:val="007168B4"/>
    <w:rsid w:val="00717707"/>
    <w:rsid w:val="00724AB5"/>
    <w:rsid w:val="00727BDC"/>
    <w:rsid w:val="00727E11"/>
    <w:rsid w:val="00734A9D"/>
    <w:rsid w:val="00747B9A"/>
    <w:rsid w:val="00752464"/>
    <w:rsid w:val="0075262D"/>
    <w:rsid w:val="007558C6"/>
    <w:rsid w:val="007601F3"/>
    <w:rsid w:val="00761591"/>
    <w:rsid w:val="00766C97"/>
    <w:rsid w:val="00772916"/>
    <w:rsid w:val="00792DE5"/>
    <w:rsid w:val="007959FE"/>
    <w:rsid w:val="00796A0C"/>
    <w:rsid w:val="007A04B3"/>
    <w:rsid w:val="007A13B8"/>
    <w:rsid w:val="007B3E6F"/>
    <w:rsid w:val="007B54CA"/>
    <w:rsid w:val="007C3867"/>
    <w:rsid w:val="007C6DF7"/>
    <w:rsid w:val="007D2BF8"/>
    <w:rsid w:val="007D6BB8"/>
    <w:rsid w:val="007E6336"/>
    <w:rsid w:val="00802F55"/>
    <w:rsid w:val="0080434C"/>
    <w:rsid w:val="00832E91"/>
    <w:rsid w:val="00834313"/>
    <w:rsid w:val="0084638F"/>
    <w:rsid w:val="00850EFB"/>
    <w:rsid w:val="0085180D"/>
    <w:rsid w:val="00853A9D"/>
    <w:rsid w:val="00861882"/>
    <w:rsid w:val="00861945"/>
    <w:rsid w:val="00864352"/>
    <w:rsid w:val="00864A2F"/>
    <w:rsid w:val="008668C2"/>
    <w:rsid w:val="0087254A"/>
    <w:rsid w:val="008774C6"/>
    <w:rsid w:val="00877AC1"/>
    <w:rsid w:val="00880CCB"/>
    <w:rsid w:val="008B141E"/>
    <w:rsid w:val="008B3E63"/>
    <w:rsid w:val="008B6653"/>
    <w:rsid w:val="008C3976"/>
    <w:rsid w:val="008C3A68"/>
    <w:rsid w:val="008D28E5"/>
    <w:rsid w:val="008F4D6F"/>
    <w:rsid w:val="00907CFD"/>
    <w:rsid w:val="009164C6"/>
    <w:rsid w:val="009206BE"/>
    <w:rsid w:val="009271CD"/>
    <w:rsid w:val="00933DA1"/>
    <w:rsid w:val="009351BB"/>
    <w:rsid w:val="00935CB5"/>
    <w:rsid w:val="0094434F"/>
    <w:rsid w:val="00945447"/>
    <w:rsid w:val="009478C8"/>
    <w:rsid w:val="009518CF"/>
    <w:rsid w:val="0096115C"/>
    <w:rsid w:val="00971FD1"/>
    <w:rsid w:val="00981858"/>
    <w:rsid w:val="00986CF2"/>
    <w:rsid w:val="00992F42"/>
    <w:rsid w:val="009978F5"/>
    <w:rsid w:val="009A00F4"/>
    <w:rsid w:val="009A2A24"/>
    <w:rsid w:val="009B044A"/>
    <w:rsid w:val="009B49CE"/>
    <w:rsid w:val="009B4D3A"/>
    <w:rsid w:val="009B5C25"/>
    <w:rsid w:val="009C16A6"/>
    <w:rsid w:val="009D0430"/>
    <w:rsid w:val="009D1488"/>
    <w:rsid w:val="009E1000"/>
    <w:rsid w:val="009F51C0"/>
    <w:rsid w:val="009F5FE9"/>
    <w:rsid w:val="009F77F0"/>
    <w:rsid w:val="00A07163"/>
    <w:rsid w:val="00A07302"/>
    <w:rsid w:val="00A15AF5"/>
    <w:rsid w:val="00A44D28"/>
    <w:rsid w:val="00A4738F"/>
    <w:rsid w:val="00A47549"/>
    <w:rsid w:val="00A53417"/>
    <w:rsid w:val="00A53BE1"/>
    <w:rsid w:val="00A56E64"/>
    <w:rsid w:val="00A57B5A"/>
    <w:rsid w:val="00A61C44"/>
    <w:rsid w:val="00A646FA"/>
    <w:rsid w:val="00A701AF"/>
    <w:rsid w:val="00A72372"/>
    <w:rsid w:val="00A811CC"/>
    <w:rsid w:val="00A8601A"/>
    <w:rsid w:val="00A91409"/>
    <w:rsid w:val="00A91EE9"/>
    <w:rsid w:val="00A9642F"/>
    <w:rsid w:val="00AA5ACA"/>
    <w:rsid w:val="00AA748D"/>
    <w:rsid w:val="00AA7C22"/>
    <w:rsid w:val="00AD2CE4"/>
    <w:rsid w:val="00AD405D"/>
    <w:rsid w:val="00AE17C6"/>
    <w:rsid w:val="00AF0175"/>
    <w:rsid w:val="00AF2E7B"/>
    <w:rsid w:val="00B10039"/>
    <w:rsid w:val="00B12663"/>
    <w:rsid w:val="00B16142"/>
    <w:rsid w:val="00B17170"/>
    <w:rsid w:val="00B26292"/>
    <w:rsid w:val="00B2757D"/>
    <w:rsid w:val="00B35F5A"/>
    <w:rsid w:val="00B42048"/>
    <w:rsid w:val="00B42A82"/>
    <w:rsid w:val="00B45CD4"/>
    <w:rsid w:val="00B45EF4"/>
    <w:rsid w:val="00B514B7"/>
    <w:rsid w:val="00B6041A"/>
    <w:rsid w:val="00B66A61"/>
    <w:rsid w:val="00B70541"/>
    <w:rsid w:val="00B70572"/>
    <w:rsid w:val="00B7218A"/>
    <w:rsid w:val="00B73E89"/>
    <w:rsid w:val="00B8115A"/>
    <w:rsid w:val="00B8182C"/>
    <w:rsid w:val="00B830D1"/>
    <w:rsid w:val="00B85760"/>
    <w:rsid w:val="00B872DE"/>
    <w:rsid w:val="00B95955"/>
    <w:rsid w:val="00BA3FE8"/>
    <w:rsid w:val="00BA7526"/>
    <w:rsid w:val="00BB3DD1"/>
    <w:rsid w:val="00BB3FBD"/>
    <w:rsid w:val="00BC7188"/>
    <w:rsid w:val="00BD4672"/>
    <w:rsid w:val="00BD4858"/>
    <w:rsid w:val="00BD65D1"/>
    <w:rsid w:val="00BF21CA"/>
    <w:rsid w:val="00BF2A03"/>
    <w:rsid w:val="00BF445B"/>
    <w:rsid w:val="00C077B1"/>
    <w:rsid w:val="00C07DEB"/>
    <w:rsid w:val="00C1777E"/>
    <w:rsid w:val="00C22CE2"/>
    <w:rsid w:val="00C336E4"/>
    <w:rsid w:val="00C3406B"/>
    <w:rsid w:val="00C37521"/>
    <w:rsid w:val="00C562C1"/>
    <w:rsid w:val="00C636EC"/>
    <w:rsid w:val="00C751EE"/>
    <w:rsid w:val="00C75D6F"/>
    <w:rsid w:val="00C83570"/>
    <w:rsid w:val="00C83F1B"/>
    <w:rsid w:val="00C97447"/>
    <w:rsid w:val="00CA52C6"/>
    <w:rsid w:val="00CB1309"/>
    <w:rsid w:val="00CB5867"/>
    <w:rsid w:val="00CB75A5"/>
    <w:rsid w:val="00CC53B6"/>
    <w:rsid w:val="00CC634C"/>
    <w:rsid w:val="00CD0AA1"/>
    <w:rsid w:val="00CD2C7A"/>
    <w:rsid w:val="00CD795B"/>
    <w:rsid w:val="00CD7DFD"/>
    <w:rsid w:val="00CE36CD"/>
    <w:rsid w:val="00CF29E1"/>
    <w:rsid w:val="00CF5F91"/>
    <w:rsid w:val="00D04457"/>
    <w:rsid w:val="00D17A5A"/>
    <w:rsid w:val="00D3327D"/>
    <w:rsid w:val="00D34AEB"/>
    <w:rsid w:val="00D35001"/>
    <w:rsid w:val="00D37D74"/>
    <w:rsid w:val="00D51AB7"/>
    <w:rsid w:val="00D6457C"/>
    <w:rsid w:val="00D737FD"/>
    <w:rsid w:val="00D73B17"/>
    <w:rsid w:val="00D83596"/>
    <w:rsid w:val="00D85364"/>
    <w:rsid w:val="00D86E59"/>
    <w:rsid w:val="00D9044E"/>
    <w:rsid w:val="00D9267F"/>
    <w:rsid w:val="00D92E38"/>
    <w:rsid w:val="00D96690"/>
    <w:rsid w:val="00DA059C"/>
    <w:rsid w:val="00DA0922"/>
    <w:rsid w:val="00DA4011"/>
    <w:rsid w:val="00DB267F"/>
    <w:rsid w:val="00DB426A"/>
    <w:rsid w:val="00DC0C6D"/>
    <w:rsid w:val="00DC5161"/>
    <w:rsid w:val="00DC69E2"/>
    <w:rsid w:val="00DD1702"/>
    <w:rsid w:val="00DD19FC"/>
    <w:rsid w:val="00DD207E"/>
    <w:rsid w:val="00DD430A"/>
    <w:rsid w:val="00DD5F19"/>
    <w:rsid w:val="00DD7B59"/>
    <w:rsid w:val="00DE0224"/>
    <w:rsid w:val="00DE16D4"/>
    <w:rsid w:val="00DE6F17"/>
    <w:rsid w:val="00E0181E"/>
    <w:rsid w:val="00E05488"/>
    <w:rsid w:val="00E05552"/>
    <w:rsid w:val="00E1368D"/>
    <w:rsid w:val="00E14BEC"/>
    <w:rsid w:val="00E20025"/>
    <w:rsid w:val="00E302D4"/>
    <w:rsid w:val="00E3121D"/>
    <w:rsid w:val="00E319C7"/>
    <w:rsid w:val="00E36897"/>
    <w:rsid w:val="00E45E21"/>
    <w:rsid w:val="00E52C81"/>
    <w:rsid w:val="00E54897"/>
    <w:rsid w:val="00E5618D"/>
    <w:rsid w:val="00E6709C"/>
    <w:rsid w:val="00E67C8A"/>
    <w:rsid w:val="00E71BD7"/>
    <w:rsid w:val="00E76F6C"/>
    <w:rsid w:val="00E81DF2"/>
    <w:rsid w:val="00E82D3B"/>
    <w:rsid w:val="00E83813"/>
    <w:rsid w:val="00E84978"/>
    <w:rsid w:val="00E84A69"/>
    <w:rsid w:val="00E86569"/>
    <w:rsid w:val="00E8727E"/>
    <w:rsid w:val="00E915A5"/>
    <w:rsid w:val="00EA1DA2"/>
    <w:rsid w:val="00EA43FA"/>
    <w:rsid w:val="00EA6234"/>
    <w:rsid w:val="00EA7B42"/>
    <w:rsid w:val="00EB1C2B"/>
    <w:rsid w:val="00EB3546"/>
    <w:rsid w:val="00EB650E"/>
    <w:rsid w:val="00EB72CF"/>
    <w:rsid w:val="00EC0F33"/>
    <w:rsid w:val="00EC7078"/>
    <w:rsid w:val="00EE0097"/>
    <w:rsid w:val="00EE1572"/>
    <w:rsid w:val="00EF2EF9"/>
    <w:rsid w:val="00EF44BB"/>
    <w:rsid w:val="00EF6287"/>
    <w:rsid w:val="00EF6E5B"/>
    <w:rsid w:val="00F07059"/>
    <w:rsid w:val="00F10328"/>
    <w:rsid w:val="00F16204"/>
    <w:rsid w:val="00F236E3"/>
    <w:rsid w:val="00F2622D"/>
    <w:rsid w:val="00F26FD0"/>
    <w:rsid w:val="00F354BF"/>
    <w:rsid w:val="00F35B4B"/>
    <w:rsid w:val="00F4359C"/>
    <w:rsid w:val="00F463A5"/>
    <w:rsid w:val="00F47806"/>
    <w:rsid w:val="00F5220C"/>
    <w:rsid w:val="00F610EC"/>
    <w:rsid w:val="00F62915"/>
    <w:rsid w:val="00F70186"/>
    <w:rsid w:val="00F703F6"/>
    <w:rsid w:val="00F841AD"/>
    <w:rsid w:val="00F85644"/>
    <w:rsid w:val="00FA5CAD"/>
    <w:rsid w:val="00FA5E44"/>
    <w:rsid w:val="00FC4484"/>
    <w:rsid w:val="00FD2F95"/>
    <w:rsid w:val="00FD4D69"/>
    <w:rsid w:val="00FD6844"/>
    <w:rsid w:val="00FE3726"/>
    <w:rsid w:val="00FE6561"/>
    <w:rsid w:val="00FE71E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84BE8"/>
  <w15:docId w15:val="{14CBDBEB-62C6-444B-B107-DA5DC14A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 w:type="character" w:styleId="Hyperlink">
    <w:name w:val="Hyperlink"/>
    <w:basedOn w:val="DefaultParagraphFont"/>
    <w:rsid w:val="00DA4011"/>
    <w:rPr>
      <w:color w:val="0000FF" w:themeColor="hyperlink"/>
      <w:u w:val="single"/>
    </w:rPr>
  </w:style>
  <w:style w:type="paragraph" w:styleId="CommentSubject">
    <w:name w:val="annotation subject"/>
    <w:basedOn w:val="CommentText"/>
    <w:next w:val="CommentText"/>
    <w:link w:val="CommentSubjectChar"/>
    <w:rsid w:val="002A2AE0"/>
    <w:pPr>
      <w:jc w:val="both"/>
    </w:pPr>
    <w:rPr>
      <w:rFonts w:ascii="Times New Roman" w:eastAsia="Calibri" w:hAnsi="Times New Roman"/>
      <w:b/>
      <w:bCs/>
      <w:noProof/>
      <w:color w:val="002060"/>
    </w:rPr>
  </w:style>
  <w:style w:type="character" w:customStyle="1" w:styleId="CommentSubjectChar">
    <w:name w:val="Comment Subject Char"/>
    <w:basedOn w:val="CommentTextChar"/>
    <w:link w:val="CommentSubject"/>
    <w:rsid w:val="002A2AE0"/>
    <w:rPr>
      <w:rFonts w:ascii=".VnTime" w:eastAsia="Calibri" w:hAnsi=".VnTime"/>
      <w:b/>
      <w:bCs/>
      <w:noProof/>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359088667">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 w:id="910507535">
      <w:bodyDiv w:val="1"/>
      <w:marLeft w:val="0"/>
      <w:marRight w:val="0"/>
      <w:marTop w:val="0"/>
      <w:marBottom w:val="0"/>
      <w:divBdr>
        <w:top w:val="none" w:sz="0" w:space="0" w:color="auto"/>
        <w:left w:val="none" w:sz="0" w:space="0" w:color="auto"/>
        <w:bottom w:val="none" w:sz="0" w:space="0" w:color="auto"/>
        <w:right w:val="none" w:sz="0" w:space="0" w:color="auto"/>
      </w:divBdr>
    </w:div>
    <w:div w:id="1596476623">
      <w:bodyDiv w:val="1"/>
      <w:marLeft w:val="0"/>
      <w:marRight w:val="0"/>
      <w:marTop w:val="0"/>
      <w:marBottom w:val="0"/>
      <w:divBdr>
        <w:top w:val="none" w:sz="0" w:space="0" w:color="auto"/>
        <w:left w:val="none" w:sz="0" w:space="0" w:color="auto"/>
        <w:bottom w:val="none" w:sz="0" w:space="0" w:color="auto"/>
        <w:right w:val="none" w:sz="0" w:space="0" w:color="auto"/>
      </w:divBdr>
    </w:div>
    <w:div w:id="20807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2BAF1-B4BE-4A71-97D8-5F5BF50C8D71}">
  <ds:schemaRefs>
    <ds:schemaRef ds:uri="http://schemas.openxmlformats.org/officeDocument/2006/bibliography"/>
  </ds:schemaRefs>
</ds:datastoreItem>
</file>

<file path=customXml/itemProps2.xml><?xml version="1.0" encoding="utf-8"?>
<ds:datastoreItem xmlns:ds="http://schemas.openxmlformats.org/officeDocument/2006/customXml" ds:itemID="{283A0A5F-E9E2-4F95-B380-54CB9E7F03E0}"/>
</file>

<file path=customXml/itemProps3.xml><?xml version="1.0" encoding="utf-8"?>
<ds:datastoreItem xmlns:ds="http://schemas.openxmlformats.org/officeDocument/2006/customXml" ds:itemID="{65222368-EFAB-49A8-AB62-EC7E4EB954C3}"/>
</file>

<file path=customXml/itemProps4.xml><?xml version="1.0" encoding="utf-8"?>
<ds:datastoreItem xmlns:ds="http://schemas.openxmlformats.org/officeDocument/2006/customXml" ds:itemID="{900EEB00-F125-40A9-AED8-B01353AA5292}"/>
</file>

<file path=docProps/app.xml><?xml version="1.0" encoding="utf-8"?>
<Properties xmlns="http://schemas.openxmlformats.org/officeDocument/2006/extended-properties" xmlns:vt="http://schemas.openxmlformats.org/officeDocument/2006/docPropsVTypes">
  <Template>Normal.dotm</Template>
  <TotalTime>214</TotalTime>
  <Pages>5</Pages>
  <Words>2775</Words>
  <Characters>10354</Characters>
  <Application>Microsoft Office Word</Application>
  <DocSecurity>0</DocSecurity>
  <Lines>86</Lines>
  <Paragraphs>26</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COMPUTER</dc:creator>
  <cp:lastModifiedBy>haison-cntt</cp:lastModifiedBy>
  <cp:revision>6</cp:revision>
  <cp:lastPrinted>2020-09-28T07:27:00Z</cp:lastPrinted>
  <dcterms:created xsi:type="dcterms:W3CDTF">2021-06-21T02:18:00Z</dcterms:created>
  <dcterms:modified xsi:type="dcterms:W3CDTF">2021-08-04T10:23:00Z</dcterms:modified>
</cp:coreProperties>
</file>